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F35B8" w14:textId="17E40CDC" w:rsidR="00CA2368" w:rsidRDefault="009E283F" w:rsidP="009E283F">
      <w:pPr>
        <w:spacing w:line="360" w:lineRule="auto"/>
        <w:jc w:val="center"/>
        <w:rPr>
          <w:rFonts w:asciiTheme="majorBidi" w:hAnsiTheme="majorBidi" w:cstheme="majorBidi"/>
          <w:sz w:val="24"/>
          <w:szCs w:val="24"/>
          <w:rtl/>
        </w:rPr>
      </w:pPr>
      <w:r w:rsidRPr="009E283F">
        <w:rPr>
          <w:rFonts w:asciiTheme="majorBidi" w:hAnsiTheme="majorBidi" w:cstheme="majorBidi"/>
          <w:b/>
          <w:bCs/>
          <w:sz w:val="24"/>
          <w:szCs w:val="24"/>
        </w:rPr>
        <w:t xml:space="preserve">"Dynamics of Power and Ideological Contention: A Critical Examination of Postwar Psychological and Political Discourse in David Hare’s </w:t>
      </w:r>
      <w:r w:rsidRPr="009E283F">
        <w:rPr>
          <w:rFonts w:asciiTheme="majorBidi" w:hAnsiTheme="majorBidi" w:cstheme="majorBidi"/>
          <w:b/>
          <w:bCs/>
          <w:i/>
          <w:iCs/>
          <w:sz w:val="24"/>
          <w:szCs w:val="24"/>
        </w:rPr>
        <w:t>Plenty</w:t>
      </w:r>
      <w:r w:rsidRPr="009E283F">
        <w:rPr>
          <w:rFonts w:asciiTheme="majorBidi" w:hAnsiTheme="majorBidi" w:cstheme="majorBidi"/>
          <w:sz w:val="24"/>
          <w:szCs w:val="24"/>
        </w:rPr>
        <w:t>"</w:t>
      </w:r>
    </w:p>
    <w:p w14:paraId="1F3AEA41" w14:textId="77777777" w:rsidR="009E283F" w:rsidRDefault="009E283F" w:rsidP="009E283F">
      <w:pPr>
        <w:jc w:val="center"/>
        <w:rPr>
          <w:rFonts w:asciiTheme="majorBidi" w:hAnsiTheme="majorBidi" w:cstheme="majorBidi"/>
          <w:b/>
          <w:bCs/>
        </w:rPr>
      </w:pPr>
      <w:r w:rsidRPr="00B921B6">
        <w:rPr>
          <w:rFonts w:asciiTheme="majorBidi" w:hAnsiTheme="majorBidi" w:cstheme="majorBidi"/>
          <w:b/>
          <w:bCs/>
        </w:rPr>
        <w:t>Hussein Zaboon Mutashar</w:t>
      </w:r>
    </w:p>
    <w:p w14:paraId="32398021" w14:textId="588932FF" w:rsidR="009E283F" w:rsidRDefault="00CA5235" w:rsidP="009E283F">
      <w:pPr>
        <w:jc w:val="center"/>
        <w:rPr>
          <w:rFonts w:asciiTheme="majorBidi" w:hAnsiTheme="majorBidi" w:cstheme="majorBidi"/>
        </w:rPr>
      </w:pPr>
      <w:r>
        <w:rPr>
          <w:rFonts w:asciiTheme="majorBidi" w:hAnsiTheme="majorBidi" w:cstheme="majorBidi"/>
        </w:rPr>
        <w:t>Husseinyan97gmail.com</w:t>
      </w:r>
      <w:bookmarkStart w:id="0" w:name="_GoBack"/>
      <w:bookmarkEnd w:id="0"/>
      <w:r w:rsidR="009E283F" w:rsidRPr="00B921B6">
        <w:rPr>
          <w:rFonts w:asciiTheme="majorBidi" w:hAnsiTheme="majorBidi" w:cstheme="majorBidi"/>
        </w:rPr>
        <w:br/>
        <w:t>ORCID: 0009-0004-3422-9353</w:t>
      </w:r>
    </w:p>
    <w:p w14:paraId="62F53486" w14:textId="77777777" w:rsidR="009E283F" w:rsidRPr="00B921B6" w:rsidRDefault="009E283F" w:rsidP="009E283F">
      <w:pPr>
        <w:jc w:val="center"/>
        <w:rPr>
          <w:rFonts w:asciiTheme="majorBidi" w:hAnsiTheme="majorBidi" w:cstheme="majorBidi"/>
        </w:rPr>
      </w:pPr>
      <w:r w:rsidRPr="00B921B6">
        <w:rPr>
          <w:rFonts w:asciiTheme="majorBidi" w:hAnsiTheme="majorBidi" w:cstheme="majorBidi"/>
        </w:rPr>
        <w:t>Faculty of Humanities, Department of English, Kharazmi University, Tehran</w:t>
      </w:r>
    </w:p>
    <w:p w14:paraId="73ECDDE8" w14:textId="77777777" w:rsidR="009E283F" w:rsidRDefault="009E283F" w:rsidP="009E283F">
      <w:pPr>
        <w:jc w:val="center"/>
        <w:rPr>
          <w:rFonts w:asciiTheme="majorBidi" w:hAnsiTheme="majorBidi" w:cstheme="majorBidi"/>
          <w:b/>
          <w:bCs/>
        </w:rPr>
      </w:pPr>
      <w:r w:rsidRPr="00B921B6">
        <w:rPr>
          <w:rFonts w:asciiTheme="majorBidi" w:hAnsiTheme="majorBidi" w:cstheme="majorBidi"/>
          <w:b/>
          <w:bCs/>
        </w:rPr>
        <w:t>Dr. Fazel Asadi Amjad</w:t>
      </w:r>
    </w:p>
    <w:p w14:paraId="6109F654" w14:textId="77777777" w:rsidR="009E283F" w:rsidRPr="00B921B6" w:rsidRDefault="009E283F" w:rsidP="009E283F">
      <w:pPr>
        <w:jc w:val="center"/>
        <w:rPr>
          <w:rFonts w:asciiTheme="majorBidi" w:hAnsiTheme="majorBidi" w:cstheme="majorBidi"/>
          <w:b/>
          <w:bCs/>
        </w:rPr>
      </w:pPr>
      <w:r w:rsidRPr="00B921B6">
        <w:rPr>
          <w:rFonts w:asciiTheme="majorBidi" w:hAnsiTheme="majorBidi" w:cstheme="majorBidi"/>
        </w:rPr>
        <w:t>Professor, Department of English, Kharazmi University, Tehran</w:t>
      </w:r>
    </w:p>
    <w:p w14:paraId="563BE7D4" w14:textId="77777777" w:rsidR="009E283F" w:rsidRDefault="009E283F" w:rsidP="009E283F">
      <w:pPr>
        <w:jc w:val="center"/>
        <w:rPr>
          <w:rFonts w:asciiTheme="majorBidi" w:hAnsiTheme="majorBidi" w:cstheme="majorBidi"/>
        </w:rPr>
      </w:pPr>
      <w:r w:rsidRPr="00B921B6">
        <w:rPr>
          <w:rFonts w:asciiTheme="majorBidi" w:hAnsiTheme="majorBidi" w:cstheme="majorBidi"/>
        </w:rPr>
        <w:t>ORCID: 0000-0003-3600-1008</w:t>
      </w:r>
    </w:p>
    <w:p w14:paraId="53399EC2" w14:textId="77777777" w:rsidR="009E283F" w:rsidRPr="00B921B6" w:rsidRDefault="009E283F" w:rsidP="009E283F">
      <w:pPr>
        <w:jc w:val="center"/>
        <w:rPr>
          <w:rFonts w:asciiTheme="majorBidi" w:hAnsiTheme="majorBidi" w:cstheme="majorBidi"/>
        </w:rPr>
      </w:pPr>
      <w:r w:rsidRPr="00B921B6">
        <w:rPr>
          <w:rFonts w:asciiTheme="majorBidi" w:hAnsiTheme="majorBidi" w:cstheme="majorBidi"/>
        </w:rPr>
        <w:t>Correspondence: </w:t>
      </w:r>
      <w:hyperlink r:id="rId7" w:tgtFrame="_blank" w:history="1">
        <w:r w:rsidRPr="00B921B6">
          <w:rPr>
            <w:rStyle w:val="Hyperlink"/>
            <w:rFonts w:asciiTheme="majorBidi" w:hAnsiTheme="majorBidi" w:cstheme="majorBidi"/>
          </w:rPr>
          <w:t>asadi@khu.ac.ir</w:t>
        </w:r>
      </w:hyperlink>
    </w:p>
    <w:p w14:paraId="77BCC0BC" w14:textId="77777777" w:rsidR="009E283F" w:rsidRDefault="009E283F" w:rsidP="009E283F">
      <w:pPr>
        <w:spacing w:line="360" w:lineRule="auto"/>
        <w:jc w:val="both"/>
        <w:rPr>
          <w:rFonts w:asciiTheme="majorBidi" w:hAnsiTheme="majorBidi" w:cstheme="majorBidi"/>
          <w:sz w:val="24"/>
          <w:szCs w:val="24"/>
        </w:rPr>
      </w:pPr>
    </w:p>
    <w:p w14:paraId="5C967799"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b/>
          <w:bCs/>
          <w:sz w:val="24"/>
          <w:szCs w:val="24"/>
        </w:rPr>
        <w:t>Abstract</w:t>
      </w:r>
      <w:r w:rsidRPr="009E283F">
        <w:rPr>
          <w:rFonts w:asciiTheme="majorBidi" w:hAnsiTheme="majorBidi" w:cstheme="majorBidi"/>
          <w:sz w:val="24"/>
          <w:szCs w:val="24"/>
        </w:rPr>
        <w:br/>
        <w:t xml:space="preserve">This paper offers a critical exploration of the postwar psychological and political terrain depicted in David Hare’s </w:t>
      </w:r>
      <w:r w:rsidRPr="009E283F">
        <w:rPr>
          <w:rFonts w:asciiTheme="majorBidi" w:hAnsiTheme="majorBidi" w:cstheme="majorBidi"/>
          <w:i/>
          <w:iCs/>
          <w:sz w:val="24"/>
          <w:szCs w:val="24"/>
        </w:rPr>
        <w:t>Plenty</w:t>
      </w:r>
      <w:r w:rsidRPr="009E283F">
        <w:rPr>
          <w:rFonts w:asciiTheme="majorBidi" w:hAnsiTheme="majorBidi" w:cstheme="majorBidi"/>
          <w:sz w:val="24"/>
          <w:szCs w:val="24"/>
        </w:rPr>
        <w:t xml:space="preserve">, with a particular emphasis on the interplay of power and emergent political trajectories. Anchored in Organski’s Power Transition Theory, the study interrogates the residual impacts of World War II on personal identity formation and shifting power dynamics. Employing a single-case cultural analysis centered on the character of Susan Traherne, the research foregrounds the tension between wartime idealism and the pervasive disillusionment of the postwar period. Through qualitative and interpretive methodologies—drawing on frameworks from political psychology and critical discourse analysis—the study uncovers the ways in which sociopolitical ruptures destabilize subjectivity and reconfigure hegemonic structures. The findings reveal that </w:t>
      </w:r>
      <w:r w:rsidRPr="009E283F">
        <w:rPr>
          <w:rFonts w:asciiTheme="majorBidi" w:hAnsiTheme="majorBidi" w:cstheme="majorBidi"/>
          <w:i/>
          <w:iCs/>
          <w:sz w:val="24"/>
          <w:szCs w:val="24"/>
        </w:rPr>
        <w:t>Plenty</w:t>
      </w:r>
      <w:r w:rsidRPr="009E283F">
        <w:rPr>
          <w:rFonts w:asciiTheme="majorBidi" w:hAnsiTheme="majorBidi" w:cstheme="majorBidi"/>
          <w:sz w:val="24"/>
          <w:szCs w:val="24"/>
        </w:rPr>
        <w:t xml:space="preserve"> stages the disintegration of ideological coherence and the psychological ramifications of geopolitical transformation, ultimately portraying individual crises as symptomatic reflections of broader global realignments.</w:t>
      </w:r>
    </w:p>
    <w:p w14:paraId="13770C17"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b/>
          <w:bCs/>
          <w:sz w:val="24"/>
          <w:szCs w:val="24"/>
        </w:rPr>
        <w:t>Keywords</w:t>
      </w:r>
      <w:r w:rsidRPr="009E283F">
        <w:rPr>
          <w:rFonts w:asciiTheme="majorBidi" w:hAnsiTheme="majorBidi" w:cstheme="majorBidi"/>
          <w:sz w:val="24"/>
          <w:szCs w:val="24"/>
        </w:rPr>
        <w:t xml:space="preserve">: Power dynamics, political transformation, postwar subjectivity, critical discourse, political psychology, David Hare, </w:t>
      </w:r>
      <w:r w:rsidRPr="009E283F">
        <w:rPr>
          <w:rFonts w:asciiTheme="majorBidi" w:hAnsiTheme="majorBidi" w:cstheme="majorBidi"/>
          <w:i/>
          <w:iCs/>
          <w:sz w:val="24"/>
          <w:szCs w:val="24"/>
        </w:rPr>
        <w:t>Plenty</w:t>
      </w:r>
    </w:p>
    <w:p w14:paraId="578D881E" w14:textId="77777777" w:rsidR="009E283F" w:rsidRDefault="009E283F" w:rsidP="009E283F">
      <w:pPr>
        <w:spacing w:line="360" w:lineRule="auto"/>
        <w:jc w:val="both"/>
        <w:rPr>
          <w:rFonts w:asciiTheme="majorBidi" w:hAnsiTheme="majorBidi" w:cstheme="majorBidi"/>
          <w:sz w:val="24"/>
          <w:szCs w:val="24"/>
        </w:rPr>
      </w:pPr>
    </w:p>
    <w:p w14:paraId="4DF5ADA4" w14:textId="77777777" w:rsidR="009E283F" w:rsidRDefault="009E283F" w:rsidP="009E283F">
      <w:pPr>
        <w:spacing w:line="360" w:lineRule="auto"/>
        <w:jc w:val="both"/>
        <w:rPr>
          <w:rFonts w:asciiTheme="majorBidi" w:hAnsiTheme="majorBidi" w:cstheme="majorBidi"/>
          <w:sz w:val="24"/>
          <w:szCs w:val="24"/>
        </w:rPr>
      </w:pPr>
    </w:p>
    <w:p w14:paraId="4270406D"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b/>
          <w:bCs/>
          <w:sz w:val="24"/>
          <w:szCs w:val="24"/>
        </w:rPr>
        <w:lastRenderedPageBreak/>
        <w:t>Introduction</w:t>
      </w:r>
      <w:r w:rsidRPr="009E283F">
        <w:rPr>
          <w:rFonts w:asciiTheme="majorBidi" w:hAnsiTheme="majorBidi" w:cstheme="majorBidi"/>
          <w:sz w:val="24"/>
          <w:szCs w:val="24"/>
        </w:rPr>
        <w:br/>
        <w:t>Power has long been integral to the realm of politics; however, the profound disruptions caused by global warfare—particularly the Second World War—catalyzed a radical reconfiguration of political power and its expression across both national and international domains. While territorial boundaries and institutional hierarchies were visibly altered in the aftermath, the more subtle yet enduring transformation occurred within intellectual paradigms and societal consciousness (Byrne &amp; Klem, 2015). The psychological aftermath of war—marked by fear, existential insecurity, disillusionment, and a fragile hope—pervaded the collective psyche of postwar societies. These internal shifts redefined the exercise of governance, prompting political theorists and statesmen alike to reconceptualize authority and interrogate the foundations of political legitimacy (Bernstein, 2020).</w:t>
      </w:r>
    </w:p>
    <w:p w14:paraId="67646937"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For those who had endured the chaos of conflict, the rupture with prewar political naïveté was irreparable. Wartime idealism gave way to a deep-seated skepticism toward conventional political discourse and empty rhetoric. Citizens no longer sought mere assurances; they demanded structures capable of averting future catastrophe. In this turbulent context, new political ideologies and alternative power configurations emerged—not only reshaping the architecture of domestic governance, but also influencing diplomatic and geopolitical interactions on a global scale (Bridoux, 2017).</w:t>
      </w:r>
    </w:p>
    <w:p w14:paraId="12255819"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A pivotal postwar realization within democratic states was the recognition of the state's role not merely as an administrative entity but as a custodian of collective sentiment. The atrocities of war underscored the perils of malfunctioning political systems and illuminated how authoritarian regimes could harness mass emotion to justify oppressive policies (Morris, 2011). Simultaneously, the war reinforced the necessity for political institutions to act as responsive frameworks for emotional and psychological management, especially in periods of societal recovery. This necessitated a nuanced recalibration of political authority—one that sought equilibrium between security, social regulation, and civic inclusion (Dean &amp; Henman, 2004).</w:t>
      </w:r>
    </w:p>
    <w:p w14:paraId="3DB166E3"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Janus (2023) argues that the psychological residue of war profoundly shaped policy-making and redefined the modalities of governance. Beyond the battlefield, warfare extended into the domain of the mind—altering perceptions, influencing behaviors, and becoming a critical site for political maneuvering (p. 71). The management of mass emotions—particularly fear, uncertainty, and the </w:t>
      </w:r>
      <w:r w:rsidRPr="009E283F">
        <w:rPr>
          <w:rFonts w:asciiTheme="majorBidi" w:hAnsiTheme="majorBidi" w:cstheme="majorBidi"/>
          <w:sz w:val="24"/>
          <w:szCs w:val="24"/>
        </w:rPr>
        <w:lastRenderedPageBreak/>
        <w:t>yearning for stability—became a central mechanism for legitimizing political decisions. As governments learned to manipulate public sentiment through rhetoric, media, and propaganda, a subtle yet pervasive form of psychological governance emerged (Janus, 2023, p. 82). The strategic deployment of emotion thus became a powerful tool in the political arsenal, prompting significant scholarly attention within political psychology and governance studies (Jones &amp; Whitehead, 2018).</w:t>
      </w:r>
    </w:p>
    <w:p w14:paraId="59C4E7F5"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In light of these developments, the postwar period stands as a critical juncture in the evolving relationship between psychology and political thought. Not only did political ideologies undergo substantial transformation, but the very conceptualization of power was reimagined (Thomas, 2012). Among the most incisive dramatic treatments of this transitional moment is David Hare’s seminal play </w:t>
      </w:r>
      <w:r w:rsidRPr="009E283F">
        <w:rPr>
          <w:rFonts w:asciiTheme="majorBidi" w:hAnsiTheme="majorBidi" w:cstheme="majorBidi"/>
          <w:i/>
          <w:iCs/>
          <w:sz w:val="24"/>
          <w:szCs w:val="24"/>
        </w:rPr>
        <w:t>Plenty</w:t>
      </w:r>
      <w:r w:rsidRPr="009E283F">
        <w:rPr>
          <w:rFonts w:asciiTheme="majorBidi" w:hAnsiTheme="majorBidi" w:cstheme="majorBidi"/>
          <w:sz w:val="24"/>
          <w:szCs w:val="24"/>
        </w:rPr>
        <w:t>. Through a layered and psychologically charged narrative, Hare interrogates the aftermath of World War II, charting the fractures within both individual subjectivity and broader sociopolitical orders. The play becomes a vehicle through which the psychological costs of war—and the contradictions of postwar society—are dramatized with remarkable depth and nuance.</w:t>
      </w:r>
    </w:p>
    <w:p w14:paraId="72038582"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This paper approaches </w:t>
      </w:r>
      <w:r w:rsidRPr="009E283F">
        <w:rPr>
          <w:rFonts w:asciiTheme="majorBidi" w:hAnsiTheme="majorBidi" w:cstheme="majorBidi"/>
          <w:i/>
          <w:iCs/>
          <w:sz w:val="24"/>
          <w:szCs w:val="24"/>
        </w:rPr>
        <w:t>Plenty</w:t>
      </w:r>
      <w:r w:rsidRPr="009E283F">
        <w:rPr>
          <w:rFonts w:asciiTheme="majorBidi" w:hAnsiTheme="majorBidi" w:cstheme="majorBidi"/>
          <w:sz w:val="24"/>
          <w:szCs w:val="24"/>
        </w:rPr>
        <w:t xml:space="preserve"> through the lens of Organski’s power transition theory, a framework that elucidates the dynamics of hegemonic decline, power redistribution, and systemic instability (Bussmann &amp; O'Neal, 2007). Organski’s model provides a fertile analytical foundation for examining how macro-political realignments are mirrored in the microcosm of individual experience. In </w:t>
      </w:r>
      <w:r w:rsidRPr="009E283F">
        <w:rPr>
          <w:rFonts w:asciiTheme="majorBidi" w:hAnsiTheme="majorBidi" w:cstheme="majorBidi"/>
          <w:i/>
          <w:iCs/>
          <w:sz w:val="24"/>
          <w:szCs w:val="24"/>
        </w:rPr>
        <w:t>Plenty</w:t>
      </w:r>
      <w:r w:rsidRPr="009E283F">
        <w:rPr>
          <w:rFonts w:asciiTheme="majorBidi" w:hAnsiTheme="majorBidi" w:cstheme="majorBidi"/>
          <w:sz w:val="24"/>
          <w:szCs w:val="24"/>
        </w:rPr>
        <w:t>, these theoretical currents find expression in the character of Susan Traherne—a former resistance fighter whose wartime valor gives way to postwar disillusionment. Her psychological unraveling and ideological discontent are emblematic of a generation that struggled to reconcile their sacrifices with the disappointing realities of peace.</w:t>
      </w:r>
    </w:p>
    <w:p w14:paraId="0C25AE76"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Hare’s exploration of domestic life, particularly the dysfunctions of family and marriage, serves as a metaphorical register of the broader psychological disorientation that the postwar period engendered. Susan’s internal conflict—her quest for purpose and her inability to locate meaning in a complacent postwar Britain—reveals the deeper existential vacuum left by war’s end. Her story is not merely personal; it is political. Through her character, Hare critiques the inadequacies of postwar governance and exposes the moral ambiguity of a society eager to forget its recent traumas.</w:t>
      </w:r>
    </w:p>
    <w:p w14:paraId="1CA29D71"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lastRenderedPageBreak/>
        <w:t xml:space="preserve">Ultimately, </w:t>
      </w:r>
      <w:r w:rsidRPr="009E283F">
        <w:rPr>
          <w:rFonts w:asciiTheme="majorBidi" w:hAnsiTheme="majorBidi" w:cstheme="majorBidi"/>
          <w:i/>
          <w:iCs/>
          <w:sz w:val="24"/>
          <w:szCs w:val="24"/>
        </w:rPr>
        <w:t>Plenty</w:t>
      </w:r>
      <w:r w:rsidRPr="009E283F">
        <w:rPr>
          <w:rFonts w:asciiTheme="majorBidi" w:hAnsiTheme="majorBidi" w:cstheme="majorBidi"/>
          <w:sz w:val="24"/>
          <w:szCs w:val="24"/>
        </w:rPr>
        <w:t xml:space="preserve"> functions as a profound meditation on the intersection of personal crisis and political transformation. It dramatizes the desire for structural change—political, social, and emotional—while simultaneously portraying the fragility of those who bear the burden of such transitions. In doing so, Hare captures the essence of the postwar condition: a world suspended between the memory of catastrophe and the uncertain promise of renewal.</w:t>
      </w:r>
    </w:p>
    <w:p w14:paraId="68D54682" w14:textId="77777777" w:rsidR="009E283F" w:rsidRPr="009E283F" w:rsidRDefault="009E283F" w:rsidP="009E283F">
      <w:pPr>
        <w:spacing w:line="360" w:lineRule="auto"/>
        <w:jc w:val="both"/>
        <w:rPr>
          <w:rFonts w:asciiTheme="majorBidi" w:hAnsiTheme="majorBidi" w:cstheme="majorBidi"/>
          <w:b/>
          <w:bCs/>
          <w:sz w:val="24"/>
          <w:szCs w:val="24"/>
        </w:rPr>
      </w:pPr>
      <w:r w:rsidRPr="009E283F">
        <w:rPr>
          <w:rFonts w:asciiTheme="majorBidi" w:hAnsiTheme="majorBidi" w:cstheme="majorBidi"/>
          <w:b/>
          <w:bCs/>
          <w:sz w:val="24"/>
          <w:szCs w:val="24"/>
        </w:rPr>
        <w:t>Methodology</w:t>
      </w:r>
    </w:p>
    <w:p w14:paraId="58FEDD11"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This study adopts a qualitative and interpretive research framework to critically examine David Hare’s </w:t>
      </w:r>
      <w:r w:rsidRPr="009E283F">
        <w:rPr>
          <w:rFonts w:asciiTheme="majorBidi" w:hAnsiTheme="majorBidi" w:cstheme="majorBidi"/>
          <w:i/>
          <w:iCs/>
          <w:sz w:val="24"/>
          <w:szCs w:val="24"/>
        </w:rPr>
        <w:t>Plenty</w:t>
      </w:r>
      <w:r w:rsidRPr="009E283F">
        <w:rPr>
          <w:rFonts w:asciiTheme="majorBidi" w:hAnsiTheme="majorBidi" w:cstheme="majorBidi"/>
          <w:sz w:val="24"/>
          <w:szCs w:val="24"/>
        </w:rPr>
        <w:t xml:space="preserve"> as a cultural artifact that dramatizes the intersections of postwar political psychology and the reconfiguration of power. The methodology comprises three interrelated strands of analysis:</w:t>
      </w:r>
    </w:p>
    <w:p w14:paraId="4473A7F9" w14:textId="77777777" w:rsidR="009E283F" w:rsidRPr="009E283F" w:rsidRDefault="009E283F" w:rsidP="009E283F">
      <w:pPr>
        <w:numPr>
          <w:ilvl w:val="0"/>
          <w:numId w:val="1"/>
        </w:numPr>
        <w:spacing w:line="360" w:lineRule="auto"/>
        <w:jc w:val="both"/>
        <w:rPr>
          <w:rFonts w:asciiTheme="majorBidi" w:hAnsiTheme="majorBidi" w:cstheme="majorBidi"/>
          <w:sz w:val="24"/>
          <w:szCs w:val="24"/>
        </w:rPr>
      </w:pPr>
      <w:r w:rsidRPr="009E283F">
        <w:rPr>
          <w:rFonts w:asciiTheme="majorBidi" w:hAnsiTheme="majorBidi" w:cstheme="majorBidi"/>
          <w:b/>
          <w:bCs/>
          <w:sz w:val="24"/>
          <w:szCs w:val="24"/>
        </w:rPr>
        <w:t>Textual Analysis</w:t>
      </w:r>
      <w:r w:rsidRPr="009E283F">
        <w:rPr>
          <w:rFonts w:asciiTheme="majorBidi" w:hAnsiTheme="majorBidi" w:cstheme="majorBidi"/>
          <w:sz w:val="24"/>
          <w:szCs w:val="24"/>
        </w:rPr>
        <w:br/>
        <w:t>A close reading of Hare’s play is employed to dissect its structural elements, character trajectories, and thematic motifs. Particular emphasis is placed on moments of dialogic tension and narrative disjunction, revealing how interpersonal conflict is embedded within—and reflective of—larger geopolitical transformations. Specific scenes are analyzed to expose the theatricalization of Britain’s imperial decline, the Cold War psyche, and the legacies of the Suez Crisis, especially as they pertain to character disillusionment and fragmented identity.</w:t>
      </w:r>
    </w:p>
    <w:p w14:paraId="23FFCA49" w14:textId="77777777" w:rsidR="009E283F" w:rsidRPr="009E283F" w:rsidRDefault="009E283F" w:rsidP="009E283F">
      <w:pPr>
        <w:numPr>
          <w:ilvl w:val="0"/>
          <w:numId w:val="1"/>
        </w:numPr>
        <w:spacing w:line="360" w:lineRule="auto"/>
        <w:jc w:val="both"/>
        <w:rPr>
          <w:rFonts w:asciiTheme="majorBidi" w:hAnsiTheme="majorBidi" w:cstheme="majorBidi"/>
          <w:sz w:val="24"/>
          <w:szCs w:val="24"/>
        </w:rPr>
      </w:pPr>
      <w:r w:rsidRPr="009E283F">
        <w:rPr>
          <w:rFonts w:asciiTheme="majorBidi" w:hAnsiTheme="majorBidi" w:cstheme="majorBidi"/>
          <w:b/>
          <w:bCs/>
          <w:sz w:val="24"/>
          <w:szCs w:val="24"/>
        </w:rPr>
        <w:t>Theoretical Application</w:t>
      </w:r>
      <w:r w:rsidRPr="009E283F">
        <w:rPr>
          <w:rFonts w:asciiTheme="majorBidi" w:hAnsiTheme="majorBidi" w:cstheme="majorBidi"/>
          <w:sz w:val="24"/>
          <w:szCs w:val="24"/>
        </w:rPr>
        <w:br/>
        <w:t>The study utilizes Organski’s Power Transition Theory (1958) as the primary analytical lens to illuminate the dynamic interplay between macro-level geopolitical shifts and micro-level psychological crises. Organski’s insights into hegemonic decline and the instability that accompanies transitional periods offer a robust framework for examining Susan Traherne’s inner turmoil as symptomatic of Britain’s waning global influence. This reading is further enriched by perspectives from political psychology (e.g., Janus, 2023; Bernstein, 2020), which contextualize the emotional and cognitive aftershocks of war and their role in postwar governance and identity formation.</w:t>
      </w:r>
    </w:p>
    <w:p w14:paraId="2700094B" w14:textId="77777777" w:rsidR="009E283F" w:rsidRPr="009E283F" w:rsidRDefault="009E283F" w:rsidP="009E283F">
      <w:pPr>
        <w:numPr>
          <w:ilvl w:val="0"/>
          <w:numId w:val="1"/>
        </w:numPr>
        <w:spacing w:line="360" w:lineRule="auto"/>
        <w:jc w:val="both"/>
        <w:rPr>
          <w:rFonts w:asciiTheme="majorBidi" w:hAnsiTheme="majorBidi" w:cstheme="majorBidi"/>
          <w:sz w:val="24"/>
          <w:szCs w:val="24"/>
        </w:rPr>
      </w:pPr>
      <w:r w:rsidRPr="009E283F">
        <w:rPr>
          <w:rFonts w:asciiTheme="majorBidi" w:hAnsiTheme="majorBidi" w:cstheme="majorBidi"/>
          <w:b/>
          <w:bCs/>
          <w:sz w:val="24"/>
          <w:szCs w:val="24"/>
        </w:rPr>
        <w:t>Critical Synthesis</w:t>
      </w:r>
      <w:r w:rsidRPr="009E283F">
        <w:rPr>
          <w:rFonts w:asciiTheme="majorBidi" w:hAnsiTheme="majorBidi" w:cstheme="majorBidi"/>
          <w:sz w:val="24"/>
          <w:szCs w:val="24"/>
        </w:rPr>
        <w:br/>
        <w:t xml:space="preserve">The interpretative process is reinforced through the triangulation of primary textual </w:t>
      </w:r>
      <w:r w:rsidRPr="009E283F">
        <w:rPr>
          <w:rFonts w:asciiTheme="majorBidi" w:hAnsiTheme="majorBidi" w:cstheme="majorBidi"/>
          <w:sz w:val="24"/>
          <w:szCs w:val="24"/>
        </w:rPr>
        <w:lastRenderedPageBreak/>
        <w:t>evidence with academic scholarship. Sources such as Niebel (2020) and Organski &amp; Kugler (1980) inform a thematic coding strategy that focuses on “power voids,” “institutional deception,” and “identity erosion.” These analytical categories serve to link character experiences with broader historical-political trajectories, enabling a multi-layered critique of postwar sociopolitical paradigms.</w:t>
      </w:r>
    </w:p>
    <w:p w14:paraId="4771539E"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The study employs a single-case design, with Susan Traherne positioned as the central site of analysis. Her character functions as an exemplar of postwar psychological dislocation and ideological estrangement. All data is derived from Hare’s script and relevant secondary literature, ensuring a hermeneutic engagement with the internal and external dimensions of power as dramatized in </w:t>
      </w:r>
      <w:r w:rsidRPr="009E283F">
        <w:rPr>
          <w:rFonts w:asciiTheme="majorBidi" w:hAnsiTheme="majorBidi" w:cstheme="majorBidi"/>
          <w:i/>
          <w:iCs/>
          <w:sz w:val="24"/>
          <w:szCs w:val="24"/>
        </w:rPr>
        <w:t>Plenty</w:t>
      </w:r>
      <w:r w:rsidRPr="009E283F">
        <w:rPr>
          <w:rFonts w:asciiTheme="majorBidi" w:hAnsiTheme="majorBidi" w:cstheme="majorBidi"/>
          <w:sz w:val="24"/>
          <w:szCs w:val="24"/>
        </w:rPr>
        <w:t>.</w:t>
      </w:r>
    </w:p>
    <w:p w14:paraId="61A1B847" w14:textId="77777777" w:rsidR="009E283F" w:rsidRPr="009E283F" w:rsidRDefault="001C22EC" w:rsidP="009E283F">
      <w:pPr>
        <w:spacing w:line="360" w:lineRule="auto"/>
        <w:jc w:val="both"/>
        <w:rPr>
          <w:rFonts w:asciiTheme="majorBidi" w:hAnsiTheme="majorBidi" w:cstheme="majorBidi"/>
          <w:sz w:val="24"/>
          <w:szCs w:val="24"/>
        </w:rPr>
      </w:pPr>
      <w:r>
        <w:rPr>
          <w:rFonts w:asciiTheme="majorBidi" w:hAnsiTheme="majorBidi" w:cstheme="majorBidi"/>
          <w:sz w:val="24"/>
          <w:szCs w:val="24"/>
        </w:rPr>
        <w:pict w14:anchorId="0C9FC856">
          <v:rect id="_x0000_i1025" style="width:0;height:1.5pt" o:hralign="center" o:hrstd="t" o:hr="t" fillcolor="#a0a0a0" stroked="f"/>
        </w:pict>
      </w:r>
    </w:p>
    <w:p w14:paraId="14275A81" w14:textId="77777777" w:rsidR="009E283F" w:rsidRPr="009E283F" w:rsidRDefault="009E283F" w:rsidP="009E283F">
      <w:pPr>
        <w:spacing w:line="360" w:lineRule="auto"/>
        <w:jc w:val="both"/>
        <w:rPr>
          <w:rFonts w:asciiTheme="majorBidi" w:hAnsiTheme="majorBidi" w:cstheme="majorBidi"/>
          <w:b/>
          <w:bCs/>
          <w:sz w:val="24"/>
          <w:szCs w:val="24"/>
        </w:rPr>
      </w:pPr>
      <w:r w:rsidRPr="009E283F">
        <w:rPr>
          <w:rFonts w:asciiTheme="majorBidi" w:hAnsiTheme="majorBidi" w:cstheme="majorBidi"/>
          <w:b/>
          <w:bCs/>
          <w:sz w:val="24"/>
          <w:szCs w:val="24"/>
        </w:rPr>
        <w:t>Power Dynamics and Psychological Depth</w:t>
      </w:r>
    </w:p>
    <w:p w14:paraId="44C7D11E"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David Hare’s </w:t>
      </w:r>
      <w:r w:rsidRPr="009E283F">
        <w:rPr>
          <w:rFonts w:asciiTheme="majorBidi" w:hAnsiTheme="majorBidi" w:cstheme="majorBidi"/>
          <w:i/>
          <w:iCs/>
          <w:sz w:val="24"/>
          <w:szCs w:val="24"/>
        </w:rPr>
        <w:t>Plenty</w:t>
      </w:r>
      <w:r w:rsidRPr="009E283F">
        <w:rPr>
          <w:rFonts w:asciiTheme="majorBidi" w:hAnsiTheme="majorBidi" w:cstheme="majorBidi"/>
          <w:sz w:val="24"/>
          <w:szCs w:val="24"/>
        </w:rPr>
        <w:t xml:space="preserve"> serves as an intricate case study in the articulation of postwar power dynamics and psychological disintegration. Set against the backdrop of a Britain emerging from the wreckage of the Second World War, the play dramatizes not only geopolitical disillusionment but also the existential dissonance that characterizes individuals who participated in a morally charged yet ultimately destabilizing war. At the core of this narrative stands Susan Traherne—a former resistance fighter whose wartime idealism fails to translate into peacetime contentment. For Susan, war is not merely a historical moment; it is a constitutive part of her identity.</w:t>
      </w:r>
    </w:p>
    <w:p w14:paraId="40AE45F6"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The play’s engagement with power operates on both institutional and interpersonal levels. Susan’s psychological unrest is mirrored in her fraught relationship with Brock, a Foreign Office official whose aversion to change embodies the bureaucratic status quo. Through their interactions, Hare contrasts the desire for structural transformation with the inertia of political conservatism. Brock represents the guardians of stability, while Susan becomes the disruptive force—a woman whose trauma, ambition, and alienation destabilize both personal and political spheres.</w:t>
      </w:r>
    </w:p>
    <w:p w14:paraId="78BED4F1"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Thematically, </w:t>
      </w:r>
      <w:r w:rsidRPr="009E283F">
        <w:rPr>
          <w:rFonts w:asciiTheme="majorBidi" w:hAnsiTheme="majorBidi" w:cstheme="majorBidi"/>
          <w:i/>
          <w:iCs/>
          <w:sz w:val="24"/>
          <w:szCs w:val="24"/>
        </w:rPr>
        <w:t>Plenty</w:t>
      </w:r>
      <w:r w:rsidRPr="009E283F">
        <w:rPr>
          <w:rFonts w:asciiTheme="majorBidi" w:hAnsiTheme="majorBidi" w:cstheme="majorBidi"/>
          <w:sz w:val="24"/>
          <w:szCs w:val="24"/>
        </w:rPr>
        <w:t xml:space="preserve"> interrogates the gap between the rhetoric of postwar reconstruction and the reality of systemic stagnation. Hare critiques the mechanisms of diplomacy and empire, as exemplified in the dialogue between Sir Andrew and Susan:</w:t>
      </w:r>
    </w:p>
    <w:p w14:paraId="4BFC14F1"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lastRenderedPageBreak/>
        <w:t>“And here's the irony: back in the days when we ruled an empire, our entire staff here totalled six hundred. With the empire breaking apart, we've grown to six thousand. The less we have authority, the less the politeness with which we fight over the tinsel that is left—more frantically, more brutally, maybe.”</w:t>
      </w:r>
    </w:p>
    <w:p w14:paraId="20BC30E7"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Sir Andrew’s observation articulates a paradox of imperial decline: as Britain’s material power diminishes, its bureaucratic apparatus expands, driven by internal rivalries and institutional inertia. This aligns with Organski’s (2014) assertion that hegemonic decline provokes not only external contestation but also internal fragmentation, as existing structures struggle to maintain relevance (p. 210).</w:t>
      </w:r>
    </w:p>
    <w:p w14:paraId="6EACCF1A"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Hare extends this critique in the figure of Darwin, who voices disillusionment with Britain’s foreign policy during the Suez Crisis:</w:t>
      </w:r>
    </w:p>
    <w:p w14:paraId="769219B2"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“I believe the entire war is a fraud cooked up by the British as an excuse for seizing the canal… And we, who have to execute this policy, even we were not told.”</w:t>
      </w:r>
    </w:p>
    <w:p w14:paraId="5DF0A83D"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This moment underscores the erosion of trust within the political elite and the disconnection between policy execution and ethical responsibility. Organski and Kugler (1980) argue that in periods of systemic transition, political actors often resort to obfuscation and strategic deceit in order to prolong their waning influence—a dynamic vividly portrayed in Darwin’s revelations (p. 219).</w:t>
      </w:r>
    </w:p>
    <w:p w14:paraId="74731F9F"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On a personal level, Susan’s psychological unraveling is emblematic of the internal cost of imperial decline. Her refusal to confide in Brock, for fear of being reduced to a spectacle of weakness, captures the tension between self-preservation and emotional authenticity:</w:t>
      </w:r>
    </w:p>
    <w:p w14:paraId="7F911370"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“All that I request, however, is this—return to me, cease moving about the room, meet my eyes, make up your mind quickly and thoroughly as to what you believe.”</w:t>
      </w:r>
    </w:p>
    <w:p w14:paraId="7BA3B97A"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This plea reflects Susan’s desire for mutual recognition in a world that has rendered her invisible. Her crisis mirrors the broader societal experience of instability, where identity becomes increasingly precarious and self-worth is contingent upon external validation.</w:t>
      </w:r>
    </w:p>
    <w:p w14:paraId="530F7F05"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lastRenderedPageBreak/>
        <w:t>Perhaps the most poignant expression of this instability occurs when Susan informs Sir Andrew of her suicidal intentions should Brock’s promotion fail to materialize. This declaration is not simply melodramatic; it symbolizes the desperation of those marginalized by shifting power hierarchies. According to Heckman (2009), periods of hegemonic erosion intensify individual attempts to reassert control, often through extreme behaviors. Susan’s ultimatum becomes a microcosm of Britain’s geopolitical anxiety—an attempt to force recognition through symbolic violence.</w:t>
      </w:r>
    </w:p>
    <w:p w14:paraId="1488CCD8"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In this regard, Hare’s play exemplifies Organski’s broader theoretical claim: power transitions are never merely structural; they are profoundly psychological. Susan’s internal war—her refusal to capitulate, her yearning for authenticity, and her relentless confrontation with meaninglessness—parallels Britain’s postwar struggle to reconcile its imperial legacy with its diminished role in global politics.</w:t>
      </w:r>
    </w:p>
    <w:p w14:paraId="2F254CAF" w14:textId="216D6363" w:rsidR="009E283F" w:rsidRDefault="009E283F" w:rsidP="009E283F">
      <w:pPr>
        <w:spacing w:line="360" w:lineRule="auto"/>
        <w:jc w:val="both"/>
        <w:rPr>
          <w:rFonts w:asciiTheme="majorBidi" w:hAnsiTheme="majorBidi" w:cstheme="majorBidi"/>
          <w:sz w:val="24"/>
          <w:szCs w:val="24"/>
        </w:rPr>
      </w:pPr>
      <w:r>
        <w:rPr>
          <w:rFonts w:asciiTheme="majorBidi" w:hAnsiTheme="majorBidi" w:cstheme="majorBidi"/>
          <w:sz w:val="24"/>
          <w:szCs w:val="24"/>
        </w:rPr>
        <w:t>Susan</w:t>
      </w:r>
    </w:p>
    <w:p w14:paraId="1FDF446E"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In this excerpt from </w:t>
      </w:r>
      <w:r w:rsidRPr="009E283F">
        <w:rPr>
          <w:rFonts w:asciiTheme="majorBidi" w:hAnsiTheme="majorBidi" w:cstheme="majorBidi"/>
          <w:i/>
          <w:iCs/>
          <w:sz w:val="24"/>
          <w:szCs w:val="24"/>
        </w:rPr>
        <w:t>Plenty</w:t>
      </w:r>
      <w:r w:rsidRPr="009E283F">
        <w:rPr>
          <w:rFonts w:asciiTheme="majorBidi" w:hAnsiTheme="majorBidi" w:cstheme="majorBidi"/>
          <w:sz w:val="24"/>
          <w:szCs w:val="24"/>
        </w:rPr>
        <w:t>, Susan delivers a scathing critique of her own circumstances as well as those of others in the post-war era, emphasizing the pervasive influence of power within both professional and social domains. She laments that, to conform to the expectations of societal institutions and her superiors, she must feign ignorance and suppress her genuine intellect and insight. This forced abandonment of her true cognitive faculties not only reflects her profound dissatisfaction with the prevailing social order but also underscores the broader identity crisis and fragility characteristic of the post-war period.</w:t>
      </w:r>
    </w:p>
    <w:p w14:paraId="5350EA8E"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Susan’s remarks highlight the social and political pressures compelling individuals to assume roles that demand the rejection of wisdom in favor of performative ignorance. When viewed through the lens of power transition theory, this dynamic epitomizes a historical moment in which dominant powers are in decline, thereby necessitating individual adaptation to shifting hegemonies (Niebel, 2020). Such transitional phases often intensify personal and collective struggles to preserve status and agency. As a consequence, Susan, once distinguished by her intelligence and talents, finds herself compelled to relinquish her intellectual autonomy and acquiesce to prevailing power structures. This predicament encapsulates the inner turmoil and identity conflicts frequently experienced by individuals navigating the uncertainties of systemic transformation. Her dialogue </w:t>
      </w:r>
      <w:r w:rsidRPr="009E283F">
        <w:rPr>
          <w:rFonts w:asciiTheme="majorBidi" w:hAnsiTheme="majorBidi" w:cstheme="majorBidi"/>
          <w:sz w:val="24"/>
          <w:szCs w:val="24"/>
        </w:rPr>
        <w:lastRenderedPageBreak/>
        <w:t>poignantly reveals the tension between authentic selfhood and the demands imposed by professional and social conventions.</w:t>
      </w:r>
    </w:p>
    <w:p w14:paraId="12857BBE"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The exchange between Brock and Susan reveals the intricate power relations and psychological tensions that characterize interpersonal dynamics in the post-war context. Both characters grapple with personal disappointments and internal struggles, yet simultaneously endeavor to assert control within their relationship amid the evolving social landscape. Their interaction, particularly when addressing memories of the war and the past, exposes fundamental divergences in their worldviews and behavioral patterns.</w:t>
      </w:r>
    </w:p>
    <w:p w14:paraId="25E8DA4D"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In the aftermath of empire decline, individuals often seek to navigate and secure their positions within emergent social structures (Lemke &amp; Reed, 1996). Susan, who once embodied idealism and political foresight, confronts a profound identity crisis precipitated by the socio-political upheavals of the post-war era. This crisis manifests in moments of denial or deliberate obfuscation, particularly in her dealings with Brock. Conversely, Brock, attuned to these emotional and psychological fluctuations, attempts to exert dominance by demonstrating his ability to interpret Susan’s signals. This struggle for control within their personal relationship exemplifies broader psychological and social tensions that arise as societies transition from wartime to peacetime realities.</w:t>
      </w:r>
    </w:p>
    <w:p w14:paraId="132BFDB1" w14:textId="77777777" w:rsidR="009E283F" w:rsidRPr="00B921B6" w:rsidRDefault="009E283F" w:rsidP="009E283F">
      <w:pPr>
        <w:jc w:val="both"/>
        <w:rPr>
          <w:rFonts w:asciiTheme="majorBidi" w:hAnsiTheme="majorBidi" w:cstheme="majorBidi"/>
        </w:rPr>
      </w:pPr>
      <w:r w:rsidRPr="00B921B6">
        <w:rPr>
          <w:rFonts w:asciiTheme="majorBidi" w:hAnsiTheme="majorBidi" w:cstheme="majorBidi"/>
          <w:b/>
          <w:bCs/>
        </w:rPr>
        <w:t>Social Commentary and Power Struggles</w:t>
      </w:r>
    </w:p>
    <w:p w14:paraId="7441AD5C"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The central character, Susan, experiences profound internal turmoil rooted in her wartime experiences and the challenges posed by the post-war environment. On one hand, she embodies the bitterness of a seasoned soldier; on the other, she represents a neglected veteran struggling to adapt to life after the conflict. Throughout her journey, Susan confronts numerous social and psychological barriers imposed by a society that resists swift acceptance of change, remaining entrenched in outdated ideologies and oppressive behaviors.</w:t>
      </w:r>
    </w:p>
    <w:p w14:paraId="16A4A3E7"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These social constraints are compounded by persistent power struggles evident in interpersonal relationships, particularly within family and social spheres. The dynamic between Susan and her husband, Brock, exemplifies such conflicts: while Susan endeavors to assert herself as an autonomous and outspoken individual within the post-war context, Brock persists in viewing her </w:t>
      </w:r>
      <w:r w:rsidRPr="009E283F">
        <w:rPr>
          <w:rFonts w:asciiTheme="majorBidi" w:hAnsiTheme="majorBidi" w:cstheme="majorBidi"/>
          <w:sz w:val="24"/>
          <w:szCs w:val="24"/>
        </w:rPr>
        <w:lastRenderedPageBreak/>
        <w:t>through a lens of traditional and conservative values. Their opposing perspectives underscore broader power tensions at both personal and societal levels.</w:t>
      </w:r>
    </w:p>
    <w:p w14:paraId="45308399"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David Hare adeptly portrays how political and social structures shape individual relationships and influence the psychological states of his characters. The play critiques the rigid social systems that compel conformity, highlighting how independent and idealistic figures are marginalized in favor of those who acquiesce to established power. Through this lens, Hare explores the survival mechanisms individuals employ—often involving the adoption of socially sanctioned roles—to navigate the psychological and social demands of their era.</w:t>
      </w:r>
    </w:p>
    <w:p w14:paraId="713564A3"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In a poignant moment, Susan articulates her disillusionment with the post-war reality, lamenting the erosion of ideals and condemning the widespread dishonesty that clouds the true purpose of the war effort.</w:t>
      </w:r>
    </w:p>
    <w:p w14:paraId="23FD1991"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Susan delivers a poignant critique of the post-war era, emphasizing the psychological and social ramifications of this period. She reflects on how, during the war, there was a clear understanding of what was being opposed, yet paradoxically, no one truly comprehended what they were striving to achieve. This absence of a clear vision regarding the war’s ultimate purpose has, over time, contributed to a gradual erosion of societal ideals and moral values. Susan’s remarks extend beyond mere social commentary; they expose the contradictions stemming from the political and moral failings of post-war institutions. She highlights a widespread disillusionment marked by the decay of faith in collective ideals and an increase in pervasive dishonesty and corrupt habits deeply embedded within the national psyche.</w:t>
      </w:r>
    </w:p>
    <w:p w14:paraId="3FCA9BCE"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This segment of </w:t>
      </w:r>
      <w:r w:rsidRPr="009E283F">
        <w:rPr>
          <w:rFonts w:asciiTheme="majorBidi" w:hAnsiTheme="majorBidi" w:cstheme="majorBidi"/>
          <w:i/>
          <w:iCs/>
          <w:sz w:val="24"/>
          <w:szCs w:val="24"/>
        </w:rPr>
        <w:t>Plenty</w:t>
      </w:r>
      <w:r w:rsidRPr="009E283F">
        <w:rPr>
          <w:rFonts w:asciiTheme="majorBidi" w:hAnsiTheme="majorBidi" w:cstheme="majorBidi"/>
          <w:sz w:val="24"/>
          <w:szCs w:val="24"/>
        </w:rPr>
        <w:t xml:space="preserve"> encapsulates Susan’s sharp condemnation of the post-war condition, portraying the deep psychological and social consequences that have emerged. The sense of confusion and loss she expresses is echoed in scholarly interpretations, such as those by Organski and Kugler (1980), who assert that wars conducted without a definitive vision for postwar leadership tend to precipitate instability, as the victorious powers struggle to establish legitimacy and coherent governance (p. 221). The framework of power transition theory aptly applies here, positing that declining power often triggers identity crises and an inability to articulate new collective goals (Knudsen, 2014). Susan, who once held steadfast ideals and clear objectives, now confronts a world where these values have lost their credibility and resonance.</w:t>
      </w:r>
    </w:p>
    <w:p w14:paraId="03E3A4EC" w14:textId="77777777" w:rsidR="009E283F" w:rsidRPr="00B921B6" w:rsidRDefault="009E283F" w:rsidP="009E283F">
      <w:pPr>
        <w:jc w:val="both"/>
        <w:rPr>
          <w:rFonts w:asciiTheme="majorBidi" w:hAnsiTheme="majorBidi" w:cstheme="majorBidi"/>
        </w:rPr>
      </w:pPr>
      <w:r w:rsidRPr="00B921B6">
        <w:rPr>
          <w:rFonts w:asciiTheme="majorBidi" w:hAnsiTheme="majorBidi" w:cstheme="majorBidi"/>
          <w:b/>
          <w:bCs/>
        </w:rPr>
        <w:lastRenderedPageBreak/>
        <w:t>Susan</w:t>
      </w:r>
      <w:r w:rsidRPr="00B921B6">
        <w:rPr>
          <w:rFonts w:asciiTheme="majorBidi" w:hAnsiTheme="majorBidi" w:cstheme="majorBidi"/>
        </w:rPr>
        <w:t>:</w:t>
      </w:r>
      <w:r w:rsidRPr="00B921B6">
        <w:rPr>
          <w:rFonts w:asciiTheme="majorBidi" w:hAnsiTheme="majorBidi" w:cstheme="majorBidi"/>
        </w:rPr>
        <w:br/>
        <w:t>So what you mean is...</w:t>
      </w:r>
    </w:p>
    <w:p w14:paraId="4F3AB1A6" w14:textId="77777777" w:rsidR="009E283F" w:rsidRPr="00B921B6" w:rsidRDefault="009E283F" w:rsidP="009E283F">
      <w:pPr>
        <w:jc w:val="both"/>
        <w:rPr>
          <w:rFonts w:asciiTheme="majorBidi" w:hAnsiTheme="majorBidi" w:cstheme="majorBidi"/>
        </w:rPr>
      </w:pPr>
      <w:r w:rsidRPr="00B921B6">
        <w:rPr>
          <w:rFonts w:asciiTheme="majorBidi" w:hAnsiTheme="majorBidi" w:cstheme="majorBidi"/>
          <w:b/>
          <w:bCs/>
        </w:rPr>
        <w:t>Charleson</w:t>
      </w:r>
      <w:r w:rsidRPr="00B921B6">
        <w:rPr>
          <w:rFonts w:asciiTheme="majorBidi" w:hAnsiTheme="majorBidi" w:cstheme="majorBidi"/>
        </w:rPr>
        <w:t>:</w:t>
      </w:r>
      <w:r w:rsidRPr="00B921B6">
        <w:rPr>
          <w:rFonts w:asciiTheme="majorBidi" w:hAnsiTheme="majorBidi" w:cstheme="majorBidi"/>
        </w:rPr>
        <w:br/>
        <w:t>I mean that there's more to it than being right or wrong in this country. Features that are sometimes hard to put into words...</w:t>
      </w:r>
    </w:p>
    <w:p w14:paraId="19BE1052" w14:textId="77777777" w:rsidR="009E283F" w:rsidRPr="00B921B6" w:rsidRDefault="009E283F" w:rsidP="009E283F">
      <w:pPr>
        <w:jc w:val="both"/>
        <w:rPr>
          <w:rFonts w:asciiTheme="majorBidi" w:hAnsiTheme="majorBidi" w:cstheme="majorBidi"/>
        </w:rPr>
      </w:pPr>
      <w:r w:rsidRPr="00B921B6">
        <w:rPr>
          <w:rFonts w:asciiTheme="majorBidi" w:hAnsiTheme="majorBidi" w:cstheme="majorBidi"/>
          <w:b/>
          <w:bCs/>
        </w:rPr>
        <w:t>Susan</w:t>
      </w:r>
      <w:r w:rsidRPr="00B921B6">
        <w:rPr>
          <w:rFonts w:asciiTheme="majorBidi" w:hAnsiTheme="majorBidi" w:cstheme="majorBidi"/>
        </w:rPr>
        <w:t>:</w:t>
      </w:r>
      <w:r w:rsidRPr="00B921B6">
        <w:rPr>
          <w:rFonts w:asciiTheme="majorBidi" w:hAnsiTheme="majorBidi" w:cstheme="majorBidi"/>
        </w:rPr>
        <w:br/>
        <w:t>So you're telling me that absolutely no one is allowed to talk, no one is allowed to refute anything...</w:t>
      </w:r>
    </w:p>
    <w:p w14:paraId="2B84DA4E" w14:textId="77777777" w:rsidR="009E283F" w:rsidRPr="00B921B6" w:rsidRDefault="009E283F" w:rsidP="009E283F">
      <w:pPr>
        <w:rPr>
          <w:rFonts w:asciiTheme="majorBidi" w:hAnsiTheme="majorBidi" w:cstheme="majorBidi"/>
        </w:rPr>
      </w:pPr>
      <w:r w:rsidRPr="00B921B6">
        <w:rPr>
          <w:rFonts w:asciiTheme="majorBidi" w:hAnsiTheme="majorBidi" w:cstheme="majorBidi"/>
          <w:b/>
          <w:bCs/>
        </w:rPr>
        <w:t>Charleson</w:t>
      </w:r>
      <w:r w:rsidRPr="00B921B6">
        <w:rPr>
          <w:rFonts w:asciiTheme="majorBidi" w:hAnsiTheme="majorBidi" w:cstheme="majorBidi"/>
        </w:rPr>
        <w:t>:</w:t>
      </w:r>
      <w:r w:rsidRPr="00B921B6">
        <w:rPr>
          <w:rFonts w:asciiTheme="majorBidi" w:hAnsiTheme="majorBidi" w:cstheme="majorBidi"/>
        </w:rPr>
        <w:br/>
        <w:t>In fact, discretion is one of the most coveted of virtues.</w:t>
      </w:r>
      <w:r w:rsidRPr="00B921B6">
        <w:rPr>
          <w:rFonts w:asciiTheme="majorBidi" w:hAnsiTheme="majorBidi" w:cstheme="majorBidi"/>
        </w:rPr>
        <w:br/>
        <w:t>(A brief silence.)</w:t>
      </w:r>
    </w:p>
    <w:p w14:paraId="4C5AD31F" w14:textId="77777777" w:rsidR="009E283F" w:rsidRPr="00B921B6" w:rsidRDefault="009E283F" w:rsidP="009E283F">
      <w:pPr>
        <w:jc w:val="both"/>
        <w:rPr>
          <w:rFonts w:asciiTheme="majorBidi" w:hAnsiTheme="majorBidi" w:cstheme="majorBidi"/>
        </w:rPr>
      </w:pPr>
      <w:r w:rsidRPr="00B921B6">
        <w:rPr>
          <w:rFonts w:asciiTheme="majorBidi" w:hAnsiTheme="majorBidi" w:cstheme="majorBidi"/>
          <w:b/>
          <w:bCs/>
        </w:rPr>
        <w:t>Susan (Aside)</w:t>
      </w:r>
      <w:r w:rsidRPr="00B921B6">
        <w:rPr>
          <w:rFonts w:asciiTheme="majorBidi" w:hAnsiTheme="majorBidi" w:cstheme="majorBidi"/>
        </w:rPr>
        <w:t>: And truth in the lowest.</w:t>
      </w:r>
    </w:p>
    <w:p w14:paraId="53621EFB" w14:textId="77777777" w:rsidR="009E283F" w:rsidRPr="00B921B6" w:rsidRDefault="009E283F" w:rsidP="009E283F">
      <w:pPr>
        <w:jc w:val="both"/>
        <w:rPr>
          <w:rFonts w:asciiTheme="majorBidi" w:hAnsiTheme="majorBidi" w:cstheme="majorBidi"/>
        </w:rPr>
      </w:pPr>
      <w:r w:rsidRPr="00B921B6">
        <w:rPr>
          <w:rFonts w:asciiTheme="majorBidi" w:hAnsiTheme="majorBidi" w:cstheme="majorBidi"/>
          <w:b/>
          <w:bCs/>
        </w:rPr>
        <w:t>Susan</w:t>
      </w:r>
      <w:r w:rsidRPr="00B921B6">
        <w:rPr>
          <w:rFonts w:asciiTheme="majorBidi" w:hAnsiTheme="majorBidi" w:cstheme="majorBidi"/>
        </w:rPr>
        <w:t>:</w:t>
      </w:r>
      <w:r w:rsidRPr="00B921B6">
        <w:rPr>
          <w:rFonts w:asciiTheme="majorBidi" w:hAnsiTheme="majorBidi" w:cstheme="majorBidi"/>
        </w:rPr>
        <w:br/>
        <w:t>Oh Sir Andrew, do you never experience a flaring of contempt for a profession that abhors honesty of thought?</w:t>
      </w:r>
    </w:p>
    <w:p w14:paraId="69CCF0F1" w14:textId="26B8B57D" w:rsid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In the dialogue between Susan and Sir Andrew Charleson, a critical examination of social values and the inherent tensions within power and political dynamics unfolds. Sir Andrew conveys to Susan that, within the realm of diplomacy, the ability to navigate social tact and diplomatic finesse often supersedes the importance of being objectively right or wrong. This perspective underscores the prevalence of covert and implicit norms that govern power structures, compelling individuals to articulate their views within prescribed boundaries, thus limiting genuine freedom of expression. This exchange can be effectively analyzed through the lens of Organski’s theory of power transition. During phases when dominant powers experience decline and established orders face disruption, emergent power systems impose new limitations on how power is articulated and exercised (Torjesen, 2018).</w:t>
      </w:r>
    </w:p>
    <w:p w14:paraId="1F8C86DF" w14:textId="77777777" w:rsidR="009E283F" w:rsidRPr="00B921B6" w:rsidRDefault="009E283F" w:rsidP="009E283F">
      <w:pPr>
        <w:rPr>
          <w:rFonts w:asciiTheme="majorBidi" w:hAnsiTheme="majorBidi" w:cstheme="majorBidi"/>
        </w:rPr>
      </w:pPr>
      <w:r w:rsidRPr="00B921B6">
        <w:rPr>
          <w:rFonts w:asciiTheme="majorBidi" w:hAnsiTheme="majorBidi" w:cstheme="majorBidi"/>
          <w:b/>
          <w:bCs/>
        </w:rPr>
        <w:t>Susan</w:t>
      </w:r>
      <w:r w:rsidRPr="00B921B6">
        <w:rPr>
          <w:rFonts w:asciiTheme="majorBidi" w:hAnsiTheme="majorBidi" w:cstheme="majorBidi"/>
        </w:rPr>
        <w:t>:</w:t>
      </w:r>
      <w:r w:rsidRPr="00B921B6">
        <w:rPr>
          <w:rFonts w:asciiTheme="majorBidi" w:hAnsiTheme="majorBidi" w:cstheme="majorBidi"/>
        </w:rPr>
        <w:br/>
        <w:t>And there's something I've made up my mind to tell you. It will be the end of my life, if Brock isn't promoted within the next six days ahead.</w:t>
      </w:r>
      <w:r w:rsidRPr="00B921B6">
        <w:rPr>
          <w:rFonts w:asciiTheme="majorBidi" w:hAnsiTheme="majorBidi" w:cstheme="majorBidi"/>
        </w:rPr>
        <w:br/>
        <w:t>Anyway, I know now you're busy, so I won't disturb you to have a drink with you,.</w:t>
      </w:r>
    </w:p>
    <w:p w14:paraId="6D1EDC4B" w14:textId="77777777" w:rsidR="009E283F" w:rsidRPr="00B921B6" w:rsidRDefault="009E283F" w:rsidP="009E283F">
      <w:pPr>
        <w:jc w:val="both"/>
        <w:rPr>
          <w:rFonts w:asciiTheme="majorBidi" w:hAnsiTheme="majorBidi" w:cstheme="majorBidi"/>
        </w:rPr>
      </w:pPr>
      <w:r w:rsidRPr="00B921B6">
        <w:rPr>
          <w:rFonts w:asciiTheme="majorBidi" w:hAnsiTheme="majorBidi" w:cstheme="majorBidi"/>
          <w:b/>
          <w:bCs/>
        </w:rPr>
        <w:t>Charleson (calling out)</w:t>
      </w:r>
      <w:r w:rsidRPr="00B921B6">
        <w:rPr>
          <w:rFonts w:asciiTheme="majorBidi" w:hAnsiTheme="majorBidi" w:cstheme="majorBidi"/>
        </w:rPr>
        <w:t>: Begley...</w:t>
      </w:r>
    </w:p>
    <w:p w14:paraId="53F62DCB" w14:textId="77777777" w:rsidR="009E283F" w:rsidRPr="00B921B6" w:rsidRDefault="009E283F" w:rsidP="009E283F">
      <w:pPr>
        <w:jc w:val="both"/>
        <w:rPr>
          <w:rFonts w:asciiTheme="majorBidi" w:hAnsiTheme="majorBidi" w:cstheme="majorBidi"/>
        </w:rPr>
      </w:pPr>
      <w:r w:rsidRPr="00B921B6">
        <w:rPr>
          <w:rFonts w:asciiTheme="majorBidi" w:hAnsiTheme="majorBidi" w:cstheme="majorBidi"/>
          <w:b/>
          <w:bCs/>
        </w:rPr>
        <w:t>Susan</w:t>
      </w:r>
      <w:r w:rsidRPr="00B921B6">
        <w:rPr>
          <w:rFonts w:asciiTheme="majorBidi" w:hAnsiTheme="majorBidi" w:cstheme="majorBidi"/>
        </w:rPr>
        <w:t>:</w:t>
      </w:r>
      <w:r w:rsidRPr="00B921B6">
        <w:rPr>
          <w:rFonts w:asciiTheme="majorBidi" w:hAnsiTheme="majorBidi" w:cstheme="majorBidi"/>
        </w:rPr>
        <w:br/>
        <w:t>I need to go to an event --- it's the Australia Day reception.</w:t>
      </w:r>
    </w:p>
    <w:p w14:paraId="6EA8398B"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In this scene, Susan boldly confronts the social and political systems that have marginalized her and her husband by threatening suicide if her husband is not promoted. This drastic measure </w:t>
      </w:r>
      <w:r w:rsidRPr="009E283F">
        <w:rPr>
          <w:rFonts w:asciiTheme="majorBidi" w:hAnsiTheme="majorBidi" w:cstheme="majorBidi"/>
          <w:sz w:val="24"/>
          <w:szCs w:val="24"/>
        </w:rPr>
        <w:lastRenderedPageBreak/>
        <w:t>highlights Susan’s profound frustration with the existing order and her urgent wish to effect change. Her threat serves not only as an expression of her psychological turmoil but also as a symbolic challenge to the socio-economic powers restricting their status. By leveraging the possibility of suicide, Susan aims to command attention and provoke action from figures like Brooke and the broader power structures. Drawing on Organski’s theory of power transition, during periods when dominant powers wane and political and social shifts occur, individuals, especially those marginalized within fragile power hierarchies like Susan, may resort to extreme threats such as violence or suicide to gain recognition and influence (Niebel, 2020). This scenario embodies the inner and societal struggles emerging amid the erosion of old powers and the rise of new ones. Feeling disenfranchised due to her gender and social standing, Susan employs this extreme tactic to exert pressure and draw notice to her plight.</w:t>
      </w:r>
    </w:p>
    <w:p w14:paraId="5930A841" w14:textId="77777777" w:rsidR="009E283F" w:rsidRPr="00B921B6" w:rsidRDefault="009E283F" w:rsidP="009E283F">
      <w:pPr>
        <w:spacing w:line="360" w:lineRule="auto"/>
        <w:jc w:val="both"/>
        <w:rPr>
          <w:rFonts w:asciiTheme="majorBidi" w:hAnsiTheme="majorBidi" w:cstheme="majorBidi"/>
        </w:rPr>
      </w:pPr>
      <w:r w:rsidRPr="00B921B6">
        <w:rPr>
          <w:rFonts w:asciiTheme="majorBidi" w:hAnsiTheme="majorBidi" w:cstheme="majorBidi"/>
          <w:b/>
          <w:bCs/>
        </w:rPr>
        <w:t>Susan</w:t>
      </w:r>
      <w:r w:rsidRPr="00B921B6">
        <w:rPr>
          <w:rFonts w:asciiTheme="majorBidi" w:hAnsiTheme="majorBidi" w:cstheme="majorBidi"/>
        </w:rPr>
        <w:t>:</w:t>
      </w:r>
      <w:r w:rsidRPr="00B921B6">
        <w:rPr>
          <w:rFonts w:asciiTheme="majorBidi" w:hAnsiTheme="majorBidi" w:cstheme="majorBidi"/>
        </w:rPr>
        <w:br/>
        <w:t>(I guess you know that by now that I'm a bit aggressive in nature---and when I'm with them, I often feel as though I have to "hold back" so I don't indeed sweep them out of the room!)</w:t>
      </w:r>
      <w:r w:rsidRPr="00B921B6">
        <w:rPr>
          <w:rFonts w:asciiTheme="majorBidi" w:hAnsiTheme="majorBidi" w:cstheme="majorBidi"/>
        </w:rPr>
        <w:br/>
        <w:t>They're kind, they're capable --- but I fail to see why I should simply put up with something, why I should be expected to have some mournful, respectable marriage for the sole purpose of having a child.</w:t>
      </w:r>
      <w:r w:rsidRPr="00B921B6">
        <w:rPr>
          <w:rFonts w:asciiTheme="majorBidi" w:hAnsiTheme="majorBidi" w:cstheme="majorBidi"/>
        </w:rPr>
        <w:br/>
        <w:t>And I simply cannot think of any reason why any woman should be expected to do so.</w:t>
      </w:r>
    </w:p>
    <w:p w14:paraId="2F86FF6E"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The pressure imposed on women to accept roles like marriage and motherhood, primarily to satisfy traditional societal expectations, highlights Susan’s resistance against social and ideological systems that confine women to subordinate and restrictive positions. Organski (2014) further explains that as established power hierarchies are contested, previously marginalized individuals and groups begin asserting themselves, often leading to conflict with those in authority (p. 209). Susan personifies this challenge by confronting the rigid conventions designed to limit women to predetermined roles. According to Organski’s power transition theory, political and social transformations cause old structures to weaken and new orders to emerge (Buyandelgeriyn, 2008). Susan represents those struggling to embrace contemporary identities rather than reverting to a past that enforced confining roles on women. Through her critique of these constraints, she strives to affirm her independence, thereby promoting social progress while opposing entrenched power. This segment of the play delves into Susan’s psychological complexity, revealing how her pursuit of personal autonomy amid societal expectations leads to an identity crisis. Once a woman of strong principles, she now inhabits a world still demanding conformity to traditional roles such as </w:t>
      </w:r>
      <w:r w:rsidRPr="009E283F">
        <w:rPr>
          <w:rFonts w:asciiTheme="majorBidi" w:hAnsiTheme="majorBidi" w:cstheme="majorBidi"/>
          <w:sz w:val="24"/>
          <w:szCs w:val="24"/>
        </w:rPr>
        <w:lastRenderedPageBreak/>
        <w:t>wife and mother. Her words make clear her defiance of these pressures and her determination to break free from these limitations.</w:t>
      </w:r>
    </w:p>
    <w:p w14:paraId="5323CD6C" w14:textId="07374CFC" w:rsidR="009E283F" w:rsidRDefault="009E283F" w:rsidP="009E283F">
      <w:pPr>
        <w:spacing w:line="360" w:lineRule="auto"/>
        <w:jc w:val="both"/>
        <w:rPr>
          <w:rFonts w:asciiTheme="majorBidi" w:hAnsiTheme="majorBidi" w:cstheme="majorBidi"/>
          <w:b/>
          <w:bCs/>
          <w:sz w:val="24"/>
          <w:szCs w:val="24"/>
        </w:rPr>
      </w:pPr>
      <w:r w:rsidRPr="009E283F">
        <w:rPr>
          <w:rFonts w:asciiTheme="majorBidi" w:hAnsiTheme="majorBidi" w:cstheme="majorBidi"/>
          <w:b/>
          <w:bCs/>
          <w:sz w:val="24"/>
          <w:szCs w:val="24"/>
        </w:rPr>
        <w:t>From War to Peace: Exploring the Political and Psychological Terrain of the Postwar Era</w:t>
      </w:r>
    </w:p>
    <w:p w14:paraId="2B6A6C43" w14:textId="77777777" w:rsidR="009E283F" w:rsidRPr="009E283F" w:rsidRDefault="009E283F" w:rsidP="009E283F">
      <w:pPr>
        <w:spacing w:line="360" w:lineRule="auto"/>
        <w:jc w:val="both"/>
        <w:rPr>
          <w:rFonts w:asciiTheme="majorBidi" w:hAnsiTheme="majorBidi" w:cstheme="majorBidi"/>
          <w:sz w:val="24"/>
          <w:szCs w:val="24"/>
        </w:rPr>
      </w:pPr>
      <w:r w:rsidRPr="009E283F">
        <w:rPr>
          <w:rFonts w:asciiTheme="majorBidi" w:hAnsiTheme="majorBidi" w:cstheme="majorBidi"/>
          <w:sz w:val="24"/>
          <w:szCs w:val="24"/>
        </w:rPr>
        <w:t xml:space="preserve">David Hare’s </w:t>
      </w:r>
      <w:r w:rsidRPr="009E283F">
        <w:rPr>
          <w:rFonts w:asciiTheme="majorBidi" w:hAnsiTheme="majorBidi" w:cstheme="majorBidi"/>
          <w:i/>
          <w:iCs/>
          <w:sz w:val="24"/>
          <w:szCs w:val="24"/>
        </w:rPr>
        <w:t>Plenty</w:t>
      </w:r>
      <w:r w:rsidRPr="009E283F">
        <w:rPr>
          <w:rFonts w:asciiTheme="majorBidi" w:hAnsiTheme="majorBidi" w:cstheme="majorBidi"/>
          <w:sz w:val="24"/>
          <w:szCs w:val="24"/>
        </w:rPr>
        <w:t xml:space="preserve"> offers a comprehensive investigation into the political, social, and psychological transformations that emerge in the aftermath of war. The play’s portrayal of the post-war environment extends beyond mere economic and political challenges, focusing significantly on the psychological impact experienced by individuals and how these effects manifest within personal relationships and societal shifts. By delving into the nuanced psychological interactions among the characters, Hare effectively reconstructs the broader political and social frameworks of the post-war period, highlighting that these changes resonate profoundly both socially and personally.</w:t>
      </w:r>
    </w:p>
    <w:p w14:paraId="76FD8D6C" w14:textId="77777777" w:rsidR="009E283F" w:rsidRDefault="009E283F" w:rsidP="009E283F">
      <w:pPr>
        <w:spacing w:line="360" w:lineRule="auto"/>
        <w:rPr>
          <w:rFonts w:asciiTheme="majorBidi" w:hAnsiTheme="majorBidi" w:cstheme="majorBidi"/>
        </w:rPr>
      </w:pPr>
      <w:r w:rsidRPr="00B921B6">
        <w:rPr>
          <w:rFonts w:asciiTheme="majorBidi" w:hAnsiTheme="majorBidi" w:cstheme="majorBidi"/>
          <w:b/>
          <w:bCs/>
        </w:rPr>
        <w:t>Tony</w:t>
      </w:r>
      <w:r w:rsidRPr="00B921B6">
        <w:rPr>
          <w:rFonts w:asciiTheme="majorBidi" w:hAnsiTheme="majorBidi" w:cstheme="majorBidi"/>
        </w:rPr>
        <w:t>:</w:t>
      </w:r>
      <w:r w:rsidRPr="00B921B6">
        <w:rPr>
          <w:rFonts w:asciiTheme="majorBidi" w:hAnsiTheme="majorBidi" w:cstheme="majorBidi"/>
        </w:rPr>
        <w:br/>
        <w:t>I had a tiny bit more of a sense --- not that much more --- but I was really glad he called.</w:t>
      </w:r>
      <w:r w:rsidRPr="00B921B6">
        <w:rPr>
          <w:rFonts w:asciiTheme="majorBidi" w:hAnsiTheme="majorBidi" w:cstheme="majorBidi"/>
        </w:rPr>
        <w:br/>
        <w:t>Some of us who lived through that war have a certain kinship. It is evidenced in impatience, a predisposition to snap judgment, a refusal to entertain nonsense.</w:t>
      </w:r>
      <w:r w:rsidRPr="00B921B6">
        <w:rPr>
          <w:rFonts w:asciiTheme="majorBidi" w:hAnsiTheme="majorBidi" w:cstheme="majorBidi"/>
        </w:rPr>
        <w:br/>
        <w:t>When we return to England, coming home afterwards can be rather discomforting; those left behind are, well, a little naive, even rather small. I think that's partly what made Tony feel so compelled to leave.</w:t>
      </w:r>
      <w:r w:rsidRPr="00B921B6">
        <w:rPr>
          <w:rFonts w:asciiTheme="majorBidi" w:hAnsiTheme="majorBidi" w:cstheme="majorBidi"/>
        </w:rPr>
        <w:br/>
        <w:t>If you have never experienced genuine hardship instead, well.</w:t>
      </w:r>
      <w:r w:rsidRPr="00B921B6">
        <w:rPr>
          <w:rFonts w:asciiTheme="majorBidi" w:hAnsiTheme="majorBidi" w:cstheme="majorBidi"/>
        </w:rPr>
        <w:br/>
        <w:t>Which is why, traveling through Europe with him, I knew at minimum that I'd have freedom to act as I pleased for a spell.</w:t>
      </w:r>
      <w:r w:rsidRPr="00B921B6">
        <w:rPr>
          <w:rFonts w:asciiTheme="majorBidi" w:hAnsiTheme="majorBidi" w:cstheme="majorBidi"/>
        </w:rPr>
        <w:br/>
        <w:t>That's all there is to it, folks.</w:t>
      </w:r>
    </w:p>
    <w:p w14:paraId="371A1E7B" w14:textId="77777777" w:rsidR="009E283F" w:rsidRPr="009E283F" w:rsidRDefault="009E283F" w:rsidP="009E283F">
      <w:pPr>
        <w:spacing w:line="360" w:lineRule="auto"/>
        <w:jc w:val="both"/>
        <w:rPr>
          <w:rFonts w:asciiTheme="majorBidi" w:hAnsiTheme="majorBidi" w:cstheme="majorBidi"/>
        </w:rPr>
      </w:pPr>
      <w:r w:rsidRPr="009E283F">
        <w:rPr>
          <w:rFonts w:asciiTheme="majorBidi" w:hAnsiTheme="majorBidi" w:cstheme="majorBidi"/>
        </w:rPr>
        <w:t xml:space="preserve">Tony shares an experience highlighting the psychological gap between those who fought in the war and those who stayed behind. He admits to feelings of "impatience" and "intolerance," emotions shaped by his wartime experiences. His mention of feeling "intolerant" and the urge to "get away" underscores the psychological turmoil many veterans endure after returning home. These individuals often feel disconnected from the post-war world, prompting a desire to escape and reclaim control over their lives. This segment of the play captures the inner struggles of identity and social belonging faced by soldiers after World War II. Organski and Kugler (1980) explain that when a dominant order collapses, those tied to it often suffer from identity confusion and alienation (p. 21). Applying Organski's power transition theory, these personal crises reflect broader social and political challenges. While post-war societies embark on </w:t>
      </w:r>
      <w:r w:rsidRPr="009E283F">
        <w:rPr>
          <w:rFonts w:asciiTheme="majorBidi" w:hAnsiTheme="majorBidi" w:cstheme="majorBidi"/>
        </w:rPr>
        <w:lastRenderedPageBreak/>
        <w:t>reconstruction, many affected by the war find it difficult to adjust, as they continue to grapple with the lingering psychological scars of conflict (Baptista, 2019).</w:t>
      </w:r>
    </w:p>
    <w:p w14:paraId="2A0F14E5" w14:textId="77777777" w:rsidR="009E283F" w:rsidRPr="00B921B6" w:rsidRDefault="009E283F" w:rsidP="009E283F">
      <w:pPr>
        <w:rPr>
          <w:rFonts w:asciiTheme="majorBidi" w:hAnsiTheme="majorBidi" w:cstheme="majorBidi"/>
        </w:rPr>
      </w:pPr>
      <w:r w:rsidRPr="00B921B6">
        <w:rPr>
          <w:rFonts w:asciiTheme="majorBidi" w:hAnsiTheme="majorBidi" w:cstheme="majorBidi"/>
          <w:b/>
          <w:bCs/>
        </w:rPr>
        <w:t>Brock</w:t>
      </w:r>
      <w:r w:rsidRPr="00B921B6">
        <w:rPr>
          <w:rFonts w:asciiTheme="majorBidi" w:hAnsiTheme="majorBidi" w:cstheme="majorBidi"/>
        </w:rPr>
        <w:t>:</w:t>
      </w:r>
      <w:r w:rsidRPr="00B921B6">
        <w:rPr>
          <w:rFonts w:asciiTheme="majorBidi" w:hAnsiTheme="majorBidi" w:cstheme="majorBidi"/>
        </w:rPr>
        <w:br/>
        <w:t>I suppose the sad spreads. You spend the day lurching from one ruin to the next, looking at the starving, the displaced, the bereaved.</w:t>
      </w:r>
      <w:r w:rsidRPr="00B921B6">
        <w:rPr>
          <w:rFonts w:asciiTheme="majorBidi" w:hAnsiTheme="majorBidi" w:cstheme="majorBidi"/>
        </w:rPr>
        <w:br/>
        <w:t>It is estimated, in fact, that thirty million have been dispossessed across Europe---compelled to cross frontiers and begin existence anew.</w:t>
      </w:r>
      <w:r w:rsidRPr="00B921B6">
        <w:rPr>
          <w:rFonts w:asciiTheme="majorBidi" w:hAnsiTheme="majorBidi" w:cstheme="majorBidi"/>
        </w:rPr>
        <w:br/>
        <w:t>And from this vantage point---</w:t>
      </w:r>
      <w:r w:rsidRPr="00B921B6">
        <w:rPr>
          <w:rFonts w:asciiTheme="majorBidi" w:hAnsiTheme="majorBidi" w:cstheme="majorBidi"/>
        </w:rPr>
        <w:br/>
        <w:t>(He motions around the space.)</w:t>
      </w:r>
      <w:r w:rsidRPr="00B921B6">
        <w:rPr>
          <w:rFonts w:asciiTheme="majorBidi" w:hAnsiTheme="majorBidi" w:cstheme="majorBidi"/>
        </w:rPr>
        <w:br/>
        <w:t>---it feels weirdly surreal to watch all this happen from here.</w:t>
      </w:r>
      <w:r w:rsidRPr="00B921B6">
        <w:rPr>
          <w:rFonts w:asciiTheme="majorBidi" w:hAnsiTheme="majorBidi" w:cstheme="majorBidi"/>
        </w:rPr>
        <w:br/>
        <w:t>Were you married for long?</w:t>
      </w:r>
    </w:p>
    <w:p w14:paraId="1FA1618C" w14:textId="77777777" w:rsidR="009E283F" w:rsidRPr="00B921B6" w:rsidRDefault="009E283F" w:rsidP="009E283F">
      <w:pPr>
        <w:jc w:val="both"/>
        <w:rPr>
          <w:rFonts w:asciiTheme="majorBidi" w:hAnsiTheme="majorBidi" w:cstheme="majorBidi"/>
        </w:rPr>
      </w:pPr>
      <w:r w:rsidRPr="00B921B6">
        <w:rPr>
          <w:rFonts w:asciiTheme="majorBidi" w:hAnsiTheme="majorBidi" w:cstheme="majorBidi"/>
          <w:b/>
          <w:bCs/>
        </w:rPr>
        <w:t>Susan</w:t>
      </w:r>
      <w:r w:rsidRPr="00B921B6">
        <w:rPr>
          <w:rFonts w:asciiTheme="majorBidi" w:hAnsiTheme="majorBidi" w:cstheme="majorBidi"/>
        </w:rPr>
        <w:t>: We met during the war.</w:t>
      </w:r>
    </w:p>
    <w:p w14:paraId="0D27EEDC" w14:textId="77777777" w:rsidR="009E283F" w:rsidRPr="00B921B6" w:rsidRDefault="009E283F" w:rsidP="009E283F">
      <w:pPr>
        <w:jc w:val="both"/>
        <w:rPr>
          <w:rFonts w:asciiTheme="majorBidi" w:hAnsiTheme="majorBidi" w:cstheme="majorBidi"/>
        </w:rPr>
      </w:pPr>
      <w:r w:rsidRPr="00B921B6">
        <w:rPr>
          <w:rFonts w:asciiTheme="majorBidi" w:hAnsiTheme="majorBidi" w:cstheme="majorBidi"/>
          <w:b/>
          <w:bCs/>
        </w:rPr>
        <w:t>Brock</w:t>
      </w:r>
      <w:r w:rsidRPr="00B921B6">
        <w:rPr>
          <w:rFonts w:asciiTheme="majorBidi" w:hAnsiTheme="majorBidi" w:cstheme="majorBidi"/>
        </w:rPr>
        <w:t>: I did notice some marks on the body (</w:t>
      </w:r>
      <w:r w:rsidRPr="00B921B6">
        <w:rPr>
          <w:rFonts w:asciiTheme="majorBidi" w:hAnsiTheme="majorBidi" w:cstheme="majorBidi"/>
          <w:i/>
          <w:iCs/>
        </w:rPr>
        <w:t>Plenty</w:t>
      </w:r>
      <w:r w:rsidRPr="00B921B6">
        <w:rPr>
          <w:rFonts w:asciiTheme="majorBidi" w:hAnsiTheme="majorBidi" w:cstheme="majorBidi"/>
        </w:rPr>
        <w:t>, p. 362)</w:t>
      </w:r>
    </w:p>
    <w:p w14:paraId="415896DE" w14:textId="77777777" w:rsidR="009E283F" w:rsidRPr="009E283F" w:rsidRDefault="009E283F" w:rsidP="009E283F">
      <w:pPr>
        <w:spacing w:line="360" w:lineRule="auto"/>
        <w:jc w:val="both"/>
        <w:rPr>
          <w:rFonts w:asciiTheme="majorBidi" w:hAnsiTheme="majorBidi" w:cstheme="majorBidi"/>
        </w:rPr>
      </w:pPr>
      <w:r w:rsidRPr="009E283F">
        <w:rPr>
          <w:rFonts w:asciiTheme="majorBidi" w:hAnsiTheme="majorBidi" w:cstheme="majorBidi"/>
        </w:rPr>
        <w:t>Brock’s speech in this section serves as a representation of the lingering physical and psychological impacts of war on individuals. These effects manifest not only in visible physical scars but also in profound psychological challenges that influence personal relationships. The dialogue highlights the stark divide between the pre-war and post-war realities, illustrating how those returning from conflict cannot simply reintegrate into their former lives. The war’s social and psychological burdens create a situation where coping with the past becomes a significant struggle. According to Organski’s power transition theory, these individual and societal transformations are intertwined with shifts in political structures and global power dynamics. Post-war, dominant nations undergo both internal and external changes, which reflect on the psychological state of their citizens as they reconstruct their societies (Buyandelgeriyn, 2008). Additionally, Organski and Kugler (1980) note that participants in political and military upheavals often find their previous roles obsolete in the aftermath, leading to crises of identity and emotion (p. 229). Brock’s reflections on the devastating post-war environment symbolize these broader social and personal upheavals.</w:t>
      </w:r>
    </w:p>
    <w:p w14:paraId="7EA0A001" w14:textId="77777777" w:rsidR="009E283F" w:rsidRPr="009E283F" w:rsidRDefault="009E283F" w:rsidP="009E283F">
      <w:pPr>
        <w:spacing w:line="360" w:lineRule="auto"/>
        <w:jc w:val="both"/>
        <w:rPr>
          <w:rFonts w:asciiTheme="majorBidi" w:hAnsiTheme="majorBidi" w:cstheme="majorBidi"/>
        </w:rPr>
      </w:pPr>
      <w:r w:rsidRPr="009E283F">
        <w:rPr>
          <w:rFonts w:asciiTheme="majorBidi" w:hAnsiTheme="majorBidi" w:cstheme="majorBidi"/>
        </w:rPr>
        <w:t>The narrative about Lazar, an agent who “dropped out of the sky,” further illustrates the deep emotional turmoil faced by those affected by war. Brock’s attempt to maintain a tough exterior—using irony, hardness, and wit—breaks down as he unexpectedly cries on the shoulder of a stranger. This moment of vulnerability reveals ongoing feelings of loss, confusion, and isolation that persist long after the conflict has ended (Plenty, p. 378). According to Baptista (2019), such psychological crises are especially prevalent among those who have experienced war firsthand. The post-war period ushers in new global power arrangements, and individuals involved in wartime activities often confront a profound sense of aimlessness and uncertainty. Brock’s emotional outburst symbolizes the disorientation and struggle to find meaning that many face as they attempt to navigate the complexities of the post-war world.</w:t>
      </w:r>
    </w:p>
    <w:p w14:paraId="3A6464CB" w14:textId="043C9439" w:rsidR="009E283F" w:rsidRDefault="009E283F" w:rsidP="009E283F">
      <w:pPr>
        <w:spacing w:line="360" w:lineRule="auto"/>
        <w:rPr>
          <w:rFonts w:asciiTheme="majorBidi" w:hAnsiTheme="majorBidi" w:cstheme="majorBidi"/>
          <w:b/>
          <w:bCs/>
        </w:rPr>
      </w:pPr>
      <w:r w:rsidRPr="009E283F">
        <w:rPr>
          <w:rFonts w:asciiTheme="majorBidi" w:hAnsiTheme="majorBidi" w:cstheme="majorBidi"/>
          <w:b/>
          <w:bCs/>
        </w:rPr>
        <w:lastRenderedPageBreak/>
        <w:t>Discussion and Conclusion</w:t>
      </w:r>
    </w:p>
    <w:p w14:paraId="1C8C6FDD" w14:textId="77777777" w:rsidR="00E80C18" w:rsidRPr="00E80C18" w:rsidRDefault="00E80C18" w:rsidP="00E80C18">
      <w:pPr>
        <w:spacing w:line="360" w:lineRule="auto"/>
        <w:jc w:val="both"/>
        <w:rPr>
          <w:rFonts w:asciiTheme="majorBidi" w:hAnsiTheme="majorBidi" w:cstheme="majorBidi"/>
        </w:rPr>
      </w:pPr>
      <w:r w:rsidRPr="00E80C18">
        <w:rPr>
          <w:rFonts w:asciiTheme="majorBidi" w:hAnsiTheme="majorBidi" w:cstheme="majorBidi"/>
        </w:rPr>
        <w:t xml:space="preserve">David Hare’s play </w:t>
      </w:r>
      <w:r w:rsidRPr="00E80C18">
        <w:rPr>
          <w:rFonts w:asciiTheme="majorBidi" w:hAnsiTheme="majorBidi" w:cstheme="majorBidi"/>
          <w:i/>
          <w:iCs/>
        </w:rPr>
        <w:t>Plenty</w:t>
      </w:r>
      <w:r w:rsidRPr="00E80C18">
        <w:rPr>
          <w:rFonts w:asciiTheme="majorBidi" w:hAnsiTheme="majorBidi" w:cstheme="majorBidi"/>
        </w:rPr>
        <w:t xml:space="preserve"> offers a profound examination of power not merely as a political phenomenon but as a deeply psychological force that shapes the lives of its characters. For many, particularly the protagonist Susan, World War II represents a period of idealism, excitement, and hope for a better future. However, Susan’s transition—from a freedom-fighting guerrilla to a woman constrained by the demands of marriage, career, and social expectations—embodies the tension between individual agency and the broader political and societal forces at play in the post-war era. Her wartime convictions clash sharply with the restrictive realities of peacetime, creating intense psychological turmoil. The play suggests that power resides as much in the minds of individuals as in political institutions. Those who once wielded influence and felt empowered on the battlefield now find themselves marginalized within a society that severely limits personal freedom. This psychological displacement highlights the complex and multifaceted relationship between power and individual identity.</w:t>
      </w:r>
    </w:p>
    <w:p w14:paraId="52AC23B6" w14:textId="77777777" w:rsidR="00E80C18" w:rsidRPr="00E80C18" w:rsidRDefault="00E80C18" w:rsidP="00E80C18">
      <w:pPr>
        <w:spacing w:line="360" w:lineRule="auto"/>
        <w:jc w:val="both"/>
        <w:rPr>
          <w:rFonts w:asciiTheme="majorBidi" w:hAnsiTheme="majorBidi" w:cstheme="majorBidi"/>
        </w:rPr>
      </w:pPr>
      <w:r w:rsidRPr="00E80C18">
        <w:rPr>
          <w:rFonts w:asciiTheme="majorBidi" w:hAnsiTheme="majorBidi" w:cstheme="majorBidi"/>
        </w:rPr>
        <w:t>Susan’s significant role in the wartime resistance contrasts starkly with her diminished status in the post-war social order, underscoring one of the play’s central themes: the transformation of power across different spheres of life. The discord between war and peace reveals how power dynamics not only govern political and social realms but also permeate individual psychology. The characters’ evolving relationships mirror the challenges they face in reconciling the promise of peace with the disillusionment and frustration that many survivors experience. Paradoxically, peace does not bring relief but rather a sense of alienation and lost purpose.</w:t>
      </w:r>
    </w:p>
    <w:p w14:paraId="30E2E053" w14:textId="77777777" w:rsidR="00E80C18" w:rsidRPr="00E80C18" w:rsidRDefault="00E80C18" w:rsidP="00E80C18">
      <w:pPr>
        <w:spacing w:line="360" w:lineRule="auto"/>
        <w:jc w:val="both"/>
        <w:rPr>
          <w:rFonts w:asciiTheme="majorBidi" w:hAnsiTheme="majorBidi" w:cstheme="majorBidi"/>
        </w:rPr>
      </w:pPr>
      <w:r w:rsidRPr="00E80C18">
        <w:rPr>
          <w:rFonts w:asciiTheme="majorBidi" w:hAnsiTheme="majorBidi" w:cstheme="majorBidi"/>
        </w:rPr>
        <w:t>Hare’s narrative illustrates how post-war social structures reconfigure power, often stripping those who had been central to the war effort of their former influence. Susan, once strong, autonomous, and purposeful, now navigates a society where historical values are sidelined and bureaucratic systems impose restrictive norms. This shift reflects the broader post-war reality in which governments and institutional powers assert control, while former fighters find themselves pushed to the margins. The play thereby exposes power as a dynamic force operating simultaneously at the macro-political level and in the intimate, everyday interactions between individuals.</w:t>
      </w:r>
    </w:p>
    <w:p w14:paraId="0AC49683" w14:textId="77777777" w:rsidR="00E80C18" w:rsidRPr="00E80C18" w:rsidRDefault="00E80C18" w:rsidP="00E80C18">
      <w:pPr>
        <w:spacing w:line="360" w:lineRule="auto"/>
        <w:jc w:val="both"/>
        <w:rPr>
          <w:rFonts w:asciiTheme="majorBidi" w:hAnsiTheme="majorBidi" w:cstheme="majorBidi"/>
        </w:rPr>
      </w:pPr>
      <w:r w:rsidRPr="00E80C18">
        <w:rPr>
          <w:rFonts w:asciiTheme="majorBidi" w:hAnsiTheme="majorBidi" w:cstheme="majorBidi"/>
        </w:rPr>
        <w:t>The characters’ relationships serve as a microcosm of these shifting power relations. Susan’s struggle to assert her wartime authority within a peacetime context reveals the internal contradictions that exacerbate her psychological crisis. Once a figure of meaning and influence, she is rendered disillusioned and powerless by societal expectations that fail to recognize her past contributions. This tension between personal agency and structural limitations forms a central narrative thread that Hare skillfully explores.</w:t>
      </w:r>
    </w:p>
    <w:p w14:paraId="32CEE892" w14:textId="77777777" w:rsidR="00E80C18" w:rsidRPr="00E80C18" w:rsidRDefault="00E80C18" w:rsidP="00E80C18">
      <w:pPr>
        <w:spacing w:line="360" w:lineRule="auto"/>
        <w:jc w:val="both"/>
        <w:rPr>
          <w:rFonts w:asciiTheme="majorBidi" w:hAnsiTheme="majorBidi" w:cstheme="majorBidi"/>
        </w:rPr>
      </w:pPr>
      <w:r w:rsidRPr="00E80C18">
        <w:rPr>
          <w:rFonts w:asciiTheme="majorBidi" w:hAnsiTheme="majorBidi" w:cstheme="majorBidi"/>
          <w:i/>
          <w:iCs/>
        </w:rPr>
        <w:lastRenderedPageBreak/>
        <w:t>Plenty</w:t>
      </w:r>
      <w:r w:rsidRPr="00E80C18">
        <w:rPr>
          <w:rFonts w:asciiTheme="majorBidi" w:hAnsiTheme="majorBidi" w:cstheme="majorBidi"/>
        </w:rPr>
        <w:t xml:space="preserve"> also presents a nuanced political and social commentary on the transition from war to peace as a complex, fraught process filled with contradictions. The play portrays power as fluid and contingent, reshaped by historical and social forces beyond individuals’ control. Susan, who fought for a noble cause, now finds her ideals eroded and seemingly irrelevant. This pervasive sense of emptiness and alienation captures the core of post-war psychological experience—a condition that demands compassionate understanding, which Hare provides through his sensitive dramatization.</w:t>
      </w:r>
    </w:p>
    <w:p w14:paraId="46BCFFBB" w14:textId="77777777" w:rsidR="00E80C18" w:rsidRPr="00E80C18" w:rsidRDefault="00E80C18" w:rsidP="00E80C18">
      <w:pPr>
        <w:spacing w:line="360" w:lineRule="auto"/>
        <w:jc w:val="both"/>
        <w:rPr>
          <w:rFonts w:asciiTheme="majorBidi" w:hAnsiTheme="majorBidi" w:cstheme="majorBidi"/>
        </w:rPr>
      </w:pPr>
      <w:r w:rsidRPr="00E80C18">
        <w:rPr>
          <w:rFonts w:asciiTheme="majorBidi" w:hAnsiTheme="majorBidi" w:cstheme="majorBidi"/>
        </w:rPr>
        <w:t>Ultimately, the war, despite its brutality, offered many characters a clear sense of purpose and personal empowerment. Peacetime, in contrast, brings despair, fragmentation, and a desperate attempt to reclaim lost power. This phenomenon extends beyond the play’s characters to reflect a broader post-war malaise, marked by political and psychological dislocation. For many, including Susan—a former member of the French Resistance—peace does not fulfill expectations but plunges them into unforeseen crises. The roles imposed by society after the war clash with her desire for freedom and agency, exacerbating her sense of isolation.</w:t>
      </w:r>
    </w:p>
    <w:p w14:paraId="5BAB88D7" w14:textId="77777777" w:rsidR="00E80C18" w:rsidRDefault="00E80C18" w:rsidP="00E80C18">
      <w:pPr>
        <w:spacing w:line="360" w:lineRule="auto"/>
        <w:jc w:val="both"/>
        <w:rPr>
          <w:rFonts w:asciiTheme="majorBidi" w:hAnsiTheme="majorBidi" w:cstheme="majorBidi"/>
        </w:rPr>
      </w:pPr>
      <w:r w:rsidRPr="00E80C18">
        <w:rPr>
          <w:rFonts w:asciiTheme="majorBidi" w:hAnsiTheme="majorBidi" w:cstheme="majorBidi"/>
        </w:rPr>
        <w:t xml:space="preserve">Through </w:t>
      </w:r>
      <w:r w:rsidRPr="00E80C18">
        <w:rPr>
          <w:rFonts w:asciiTheme="majorBidi" w:hAnsiTheme="majorBidi" w:cstheme="majorBidi"/>
          <w:i/>
          <w:iCs/>
        </w:rPr>
        <w:t>Plenty</w:t>
      </w:r>
      <w:r w:rsidRPr="00E80C18">
        <w:rPr>
          <w:rFonts w:asciiTheme="majorBidi" w:hAnsiTheme="majorBidi" w:cstheme="majorBidi"/>
        </w:rPr>
        <w:t>, Hare eloquently reveals how the aftermath of war unsettles not only governments and social orders but also the very identities of those who fought, leaving them adrift in a world that no longer values the ideals for which they once stood. The play invites audiences to reflect on the profound transformations in power—both external and internal—that accompany the transition from conflict to peace.</w:t>
      </w:r>
    </w:p>
    <w:p w14:paraId="4F92BD4C" w14:textId="77777777" w:rsidR="00E80C18" w:rsidRDefault="00E80C18" w:rsidP="00E80C18">
      <w:pPr>
        <w:spacing w:line="360" w:lineRule="auto"/>
        <w:jc w:val="both"/>
        <w:rPr>
          <w:rFonts w:asciiTheme="majorBidi" w:hAnsiTheme="majorBidi" w:cstheme="majorBidi"/>
        </w:rPr>
      </w:pPr>
    </w:p>
    <w:p w14:paraId="1CF6BC8D"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b/>
          <w:bCs/>
        </w:rPr>
        <w:t>References</w:t>
      </w:r>
      <w:r w:rsidRPr="00B921B6">
        <w:rPr>
          <w:rFonts w:asciiTheme="majorBidi" w:hAnsiTheme="majorBidi" w:cstheme="majorBidi"/>
        </w:rPr>
        <w:br/>
      </w:r>
    </w:p>
    <w:p w14:paraId="40AC3FA5"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lang w:val="it-IT"/>
        </w:rPr>
        <w:t xml:space="preserve">Abd Al Khanaifsawy, A. N. (2021). </w:t>
      </w:r>
      <w:r w:rsidRPr="00B921B6">
        <w:rPr>
          <w:rFonts w:asciiTheme="majorBidi" w:hAnsiTheme="majorBidi" w:cstheme="majorBidi"/>
        </w:rPr>
        <w:t>A pragma-dialectical study of David Hare’s ‘Stuff Happens’. </w:t>
      </w:r>
      <w:r w:rsidRPr="00B921B6">
        <w:rPr>
          <w:rFonts w:asciiTheme="majorBidi" w:hAnsiTheme="majorBidi" w:cstheme="majorBidi"/>
          <w:i/>
          <w:iCs/>
        </w:rPr>
        <w:t>Zien Journal of Social Sciences and Humanities</w:t>
      </w:r>
      <w:r w:rsidRPr="00B921B6">
        <w:rPr>
          <w:rFonts w:asciiTheme="majorBidi" w:hAnsiTheme="majorBidi" w:cstheme="majorBidi"/>
        </w:rPr>
        <w:t>, *2*, 136–186.</w:t>
      </w:r>
    </w:p>
    <w:p w14:paraId="2B126F4A"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Baptista, E. (2019). The psychological legacies of World War II. </w:t>
      </w:r>
      <w:r w:rsidRPr="00B921B6">
        <w:rPr>
          <w:rFonts w:asciiTheme="majorBidi" w:hAnsiTheme="majorBidi" w:cstheme="majorBidi"/>
          <w:i/>
          <w:iCs/>
        </w:rPr>
        <w:t>Journal of Historical Psychology</w:t>
      </w:r>
      <w:r w:rsidRPr="00B921B6">
        <w:rPr>
          <w:rFonts w:asciiTheme="majorBidi" w:hAnsiTheme="majorBidi" w:cstheme="majorBidi"/>
        </w:rPr>
        <w:t>, *42*(2), 133–145. </w:t>
      </w:r>
      <w:hyperlink r:id="rId8" w:tgtFrame="_blank" w:history="1">
        <w:r w:rsidRPr="00B921B6">
          <w:rPr>
            <w:rStyle w:val="Hyperlink"/>
            <w:rFonts w:asciiTheme="majorBidi" w:hAnsiTheme="majorBidi" w:cstheme="majorBidi"/>
          </w:rPr>
          <w:t>https://doi.org/10.1177/1468794119838221</w:t>
        </w:r>
      </w:hyperlink>
    </w:p>
    <w:p w14:paraId="7D443542"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Bernstein, S. (2020). The absence of great power responsibility in global environmental politics. </w:t>
      </w:r>
      <w:r w:rsidRPr="00B921B6">
        <w:rPr>
          <w:rFonts w:asciiTheme="majorBidi" w:hAnsiTheme="majorBidi" w:cstheme="majorBidi"/>
          <w:i/>
          <w:iCs/>
        </w:rPr>
        <w:t>European Journal of International Relations</w:t>
      </w:r>
      <w:r w:rsidRPr="00B921B6">
        <w:rPr>
          <w:rFonts w:asciiTheme="majorBidi" w:hAnsiTheme="majorBidi" w:cstheme="majorBidi"/>
        </w:rPr>
        <w:t>, *26*(1), 8–32. </w:t>
      </w:r>
      <w:hyperlink r:id="rId9" w:tgtFrame="_blank" w:history="1">
        <w:r w:rsidRPr="00B921B6">
          <w:rPr>
            <w:rStyle w:val="Hyperlink"/>
            <w:rFonts w:asciiTheme="majorBidi" w:hAnsiTheme="majorBidi" w:cstheme="majorBidi"/>
          </w:rPr>
          <w:t>https://doi.org/10.1177/1354066120908539</w:t>
        </w:r>
      </w:hyperlink>
    </w:p>
    <w:p w14:paraId="3CBC1AD7"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Bridoux, J. (2017). Stronger than strong: Perceptions and misperceptions of power. In </w:t>
      </w:r>
      <w:r w:rsidRPr="00B921B6">
        <w:rPr>
          <w:rFonts w:asciiTheme="majorBidi" w:hAnsiTheme="majorBidi" w:cstheme="majorBidi"/>
          <w:i/>
          <w:iCs/>
        </w:rPr>
        <w:t>American hegemony and the rise of emerging powers</w:t>
      </w:r>
      <w:r w:rsidRPr="00B921B6">
        <w:rPr>
          <w:rFonts w:asciiTheme="majorBidi" w:hAnsiTheme="majorBidi" w:cstheme="majorBidi"/>
        </w:rPr>
        <w:t> (pp. 19–39). Routledge.</w:t>
      </w:r>
    </w:p>
    <w:p w14:paraId="175E794F"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Bussmann, M., &amp; Oneal, J. R. (2007). Do hegemons distribute private goods? A test of power-transition theory. </w:t>
      </w:r>
      <w:r w:rsidRPr="00B921B6">
        <w:rPr>
          <w:rFonts w:asciiTheme="majorBidi" w:hAnsiTheme="majorBidi" w:cstheme="majorBidi"/>
          <w:i/>
          <w:iCs/>
        </w:rPr>
        <w:t>Journal of Conflict Resolution</w:t>
      </w:r>
      <w:r w:rsidRPr="00B921B6">
        <w:rPr>
          <w:rFonts w:asciiTheme="majorBidi" w:hAnsiTheme="majorBidi" w:cstheme="majorBidi"/>
        </w:rPr>
        <w:t>, *51*(1), 88–111. </w:t>
      </w:r>
      <w:hyperlink r:id="rId10" w:tgtFrame="_blank" w:history="1">
        <w:r w:rsidRPr="00B921B6">
          <w:rPr>
            <w:rStyle w:val="Hyperlink"/>
            <w:rFonts w:asciiTheme="majorBidi" w:hAnsiTheme="majorBidi" w:cstheme="majorBidi"/>
          </w:rPr>
          <w:t>https://doi.org/10.1177/0022002706296157</w:t>
        </w:r>
      </w:hyperlink>
    </w:p>
    <w:p w14:paraId="1E607EF4"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lastRenderedPageBreak/>
        <w:t>Buyandelgeriyn, M. (2008). Post-post-transition theories: Walking on multiple paths. </w:t>
      </w:r>
      <w:r w:rsidRPr="00B921B6">
        <w:rPr>
          <w:rFonts w:asciiTheme="majorBidi" w:hAnsiTheme="majorBidi" w:cstheme="majorBidi"/>
          <w:i/>
          <w:iCs/>
        </w:rPr>
        <w:t>Annual Review of Anthropology</w:t>
      </w:r>
      <w:r w:rsidRPr="00B921B6">
        <w:rPr>
          <w:rFonts w:asciiTheme="majorBidi" w:hAnsiTheme="majorBidi" w:cstheme="majorBidi"/>
        </w:rPr>
        <w:t>, *37*, 235–250. </w:t>
      </w:r>
      <w:hyperlink r:id="rId11" w:tgtFrame="_blank" w:history="1">
        <w:r w:rsidRPr="00B921B6">
          <w:rPr>
            <w:rStyle w:val="Hyperlink"/>
            <w:rFonts w:asciiTheme="majorBidi" w:hAnsiTheme="majorBidi" w:cstheme="majorBidi"/>
          </w:rPr>
          <w:t>https://doi.org/10.1146/annurev.anthro.37.081407.085207</w:t>
        </w:r>
      </w:hyperlink>
    </w:p>
    <w:p w14:paraId="76F31368"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Byrne, S., &amp; Klem, B. (2015). Constructing legitimacy in post-war transition: The return of 'normal' politics in Nepal and Sri Lanka? </w:t>
      </w:r>
      <w:r w:rsidRPr="00B921B6">
        <w:rPr>
          <w:rFonts w:asciiTheme="majorBidi" w:hAnsiTheme="majorBidi" w:cstheme="majorBidi"/>
          <w:i/>
          <w:iCs/>
        </w:rPr>
        <w:t>Geoforum</w:t>
      </w:r>
      <w:r w:rsidRPr="00B921B6">
        <w:rPr>
          <w:rFonts w:asciiTheme="majorBidi" w:hAnsiTheme="majorBidi" w:cstheme="majorBidi"/>
        </w:rPr>
        <w:t>, *66*, 224–233. </w:t>
      </w:r>
      <w:hyperlink r:id="rId12" w:tgtFrame="_blank" w:history="1">
        <w:r w:rsidRPr="00B921B6">
          <w:rPr>
            <w:rStyle w:val="Hyperlink"/>
            <w:rFonts w:asciiTheme="majorBidi" w:hAnsiTheme="majorBidi" w:cstheme="majorBidi"/>
          </w:rPr>
          <w:t>https://doi.org/10.1016/j.geoforum.2015.10.003</w:t>
        </w:r>
      </w:hyperlink>
    </w:p>
    <w:p w14:paraId="663C6288"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Dean, M., &amp; Henman, P. (2004). Governing society today: Editors' introduction. </w:t>
      </w:r>
      <w:r w:rsidRPr="00B921B6">
        <w:rPr>
          <w:rFonts w:asciiTheme="majorBidi" w:hAnsiTheme="majorBidi" w:cstheme="majorBidi"/>
          <w:i/>
          <w:iCs/>
        </w:rPr>
        <w:t>Alternatives</w:t>
      </w:r>
      <w:r w:rsidRPr="00B921B6">
        <w:rPr>
          <w:rFonts w:asciiTheme="majorBidi" w:hAnsiTheme="majorBidi" w:cstheme="majorBidi"/>
        </w:rPr>
        <w:t>, *29*(5), 483–494. </w:t>
      </w:r>
      <w:hyperlink r:id="rId13" w:tgtFrame="_blank" w:history="1">
        <w:r w:rsidRPr="00B921B6">
          <w:rPr>
            <w:rStyle w:val="Hyperlink"/>
            <w:rFonts w:asciiTheme="majorBidi" w:hAnsiTheme="majorBidi" w:cstheme="majorBidi"/>
          </w:rPr>
          <w:t>https://doi.org/10.1177/030437540402900501</w:t>
        </w:r>
      </w:hyperlink>
    </w:p>
    <w:p w14:paraId="359CEF06"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Heckman, G. A. (2009). </w:t>
      </w:r>
      <w:r w:rsidRPr="00B921B6">
        <w:rPr>
          <w:rFonts w:asciiTheme="majorBidi" w:hAnsiTheme="majorBidi" w:cstheme="majorBidi"/>
          <w:i/>
          <w:iCs/>
        </w:rPr>
        <w:t>Power capabilities and similarity of interests: A test of the power transition theory</w:t>
      </w:r>
      <w:r w:rsidRPr="00B921B6">
        <w:rPr>
          <w:rFonts w:asciiTheme="majorBidi" w:hAnsiTheme="majorBidi" w:cstheme="majorBidi"/>
        </w:rPr>
        <w:t> [Doctoral dissertation, Louisiana State University]. LSU Digital Commons.</w:t>
      </w:r>
    </w:p>
    <w:p w14:paraId="608A7712"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Janus, L. (2023). Reflections on the psychological and psychohistorical causes of the war in Ukraine and of wars in general. </w:t>
      </w:r>
      <w:r w:rsidRPr="00B921B6">
        <w:rPr>
          <w:rFonts w:asciiTheme="majorBidi" w:hAnsiTheme="majorBidi" w:cstheme="majorBidi"/>
          <w:i/>
          <w:iCs/>
        </w:rPr>
        <w:t>The Journal of Psychohistory</w:t>
      </w:r>
      <w:r w:rsidRPr="00B921B6">
        <w:rPr>
          <w:rFonts w:asciiTheme="majorBidi" w:hAnsiTheme="majorBidi" w:cstheme="majorBidi"/>
        </w:rPr>
        <w:t>, *50*(2), 139–151.</w:t>
      </w:r>
    </w:p>
    <w:p w14:paraId="3B06C8BA"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Jones, R., &amp; Whitehead, M. (2018). 'Politics done like science': Critical perspectives on psychological governance and the experimental state. </w:t>
      </w:r>
      <w:r w:rsidRPr="00B921B6">
        <w:rPr>
          <w:rFonts w:asciiTheme="majorBidi" w:hAnsiTheme="majorBidi" w:cstheme="majorBidi"/>
          <w:i/>
          <w:iCs/>
        </w:rPr>
        <w:t>Environment and Planning D: Society and Space</w:t>
      </w:r>
      <w:r w:rsidRPr="00B921B6">
        <w:rPr>
          <w:rFonts w:asciiTheme="majorBidi" w:hAnsiTheme="majorBidi" w:cstheme="majorBidi"/>
        </w:rPr>
        <w:t>, *36*(2), 313–330. </w:t>
      </w:r>
      <w:hyperlink r:id="rId14" w:tgtFrame="_blank" w:history="1">
        <w:r w:rsidRPr="00B921B6">
          <w:rPr>
            <w:rStyle w:val="Hyperlink"/>
            <w:rFonts w:asciiTheme="majorBidi" w:hAnsiTheme="majorBidi" w:cstheme="majorBidi"/>
          </w:rPr>
          <w:t>https://doi.org/10.1177/0263775817745388</w:t>
        </w:r>
      </w:hyperlink>
    </w:p>
    <w:p w14:paraId="0E4F6396"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Knudsen, T. B. (2014). The politics of power transition. </w:t>
      </w:r>
      <w:r w:rsidRPr="00B921B6">
        <w:rPr>
          <w:rFonts w:asciiTheme="majorBidi" w:hAnsiTheme="majorBidi" w:cstheme="majorBidi"/>
          <w:i/>
          <w:iCs/>
        </w:rPr>
        <w:t>International Relations</w:t>
      </w:r>
      <w:r w:rsidRPr="00B921B6">
        <w:rPr>
          <w:rFonts w:asciiTheme="majorBidi" w:hAnsiTheme="majorBidi" w:cstheme="majorBidi"/>
        </w:rPr>
        <w:t>, *28*(1), 25–40. </w:t>
      </w:r>
      <w:hyperlink r:id="rId15" w:tgtFrame="_blank" w:history="1">
        <w:r w:rsidRPr="00B921B6">
          <w:rPr>
            <w:rStyle w:val="Hyperlink"/>
            <w:rFonts w:asciiTheme="majorBidi" w:hAnsiTheme="majorBidi" w:cstheme="majorBidi"/>
          </w:rPr>
          <w:t>https://doi.org/10.1177/0047117813513148</w:t>
        </w:r>
      </w:hyperlink>
    </w:p>
    <w:p w14:paraId="16AC2712"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Lemke, D., &amp; Wood, R. M. (1996). The effect of democratic joint ventures on interstate conflict, 1919–1992. </w:t>
      </w:r>
      <w:r w:rsidRPr="00B921B6">
        <w:rPr>
          <w:rFonts w:asciiTheme="majorBidi" w:hAnsiTheme="majorBidi" w:cstheme="majorBidi"/>
          <w:i/>
          <w:iCs/>
        </w:rPr>
        <w:t>Journal of Politics</w:t>
      </w:r>
      <w:r w:rsidRPr="00B921B6">
        <w:rPr>
          <w:rFonts w:asciiTheme="majorBidi" w:hAnsiTheme="majorBidi" w:cstheme="majorBidi"/>
        </w:rPr>
        <w:t>, *58*(4), 1265–1287. </w:t>
      </w:r>
      <w:hyperlink r:id="rId16" w:tgtFrame="_blank" w:history="1">
        <w:r w:rsidRPr="00B921B6">
          <w:rPr>
            <w:rStyle w:val="Hyperlink"/>
            <w:rFonts w:asciiTheme="majorBidi" w:hAnsiTheme="majorBidi" w:cstheme="majorBidi"/>
          </w:rPr>
          <w:t>https://doi.org/10.2307/2960474</w:t>
        </w:r>
      </w:hyperlink>
    </w:p>
    <w:p w14:paraId="65638C24"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Morris, J. (2011). How great is Britain? Power, responsibility and Britain's future global role. </w:t>
      </w:r>
      <w:r w:rsidRPr="00B921B6">
        <w:rPr>
          <w:rFonts w:asciiTheme="majorBidi" w:hAnsiTheme="majorBidi" w:cstheme="majorBidi"/>
          <w:i/>
          <w:iCs/>
        </w:rPr>
        <w:t>The British Journal of Politics and International Relations</w:t>
      </w:r>
      <w:r w:rsidRPr="00B921B6">
        <w:rPr>
          <w:rFonts w:asciiTheme="majorBidi" w:hAnsiTheme="majorBidi" w:cstheme="majorBidi"/>
        </w:rPr>
        <w:t>, *13*(3), 326–347. </w:t>
      </w:r>
      <w:hyperlink r:id="rId17" w:tgtFrame="_blank" w:history="1">
        <w:r w:rsidRPr="00B921B6">
          <w:rPr>
            <w:rStyle w:val="Hyperlink"/>
            <w:rFonts w:asciiTheme="majorBidi" w:hAnsiTheme="majorBidi" w:cstheme="majorBidi"/>
          </w:rPr>
          <w:t>https://doi.org/10.1111/j.1467-856X.2011.00459.x</w:t>
        </w:r>
      </w:hyperlink>
    </w:p>
    <w:p w14:paraId="37044088"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Niebel, D. (2020). The power transition theory and the Sino-American contention for power. </w:t>
      </w:r>
      <w:r w:rsidRPr="00B921B6">
        <w:rPr>
          <w:rFonts w:asciiTheme="majorBidi" w:hAnsiTheme="majorBidi" w:cstheme="majorBidi"/>
          <w:i/>
          <w:iCs/>
        </w:rPr>
        <w:t>Towson University Journal of International Affairs</w:t>
      </w:r>
      <w:r w:rsidRPr="00B921B6">
        <w:rPr>
          <w:rFonts w:asciiTheme="majorBidi" w:hAnsiTheme="majorBidi" w:cstheme="majorBidi"/>
        </w:rPr>
        <w:t>, *64*(1), 1–17.</w:t>
      </w:r>
    </w:p>
    <w:p w14:paraId="392C7A1F"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Organski, A. F. K. (2014). Power transition. In C. Brown (Ed.), </w:t>
      </w:r>
      <w:r w:rsidRPr="00B921B6">
        <w:rPr>
          <w:rFonts w:asciiTheme="majorBidi" w:hAnsiTheme="majorBidi" w:cstheme="majorBidi"/>
          <w:i/>
          <w:iCs/>
        </w:rPr>
        <w:t>The realism reader</w:t>
      </w:r>
      <w:r w:rsidRPr="00B921B6">
        <w:rPr>
          <w:rFonts w:asciiTheme="majorBidi" w:hAnsiTheme="majorBidi" w:cstheme="majorBidi"/>
        </w:rPr>
        <w:t> (pp. 207–210). Routledge.</w:t>
      </w:r>
    </w:p>
    <w:p w14:paraId="7A55D37F"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Organski, A. F. K., &amp; Kugler, J. (1980). </w:t>
      </w:r>
      <w:r w:rsidRPr="00B921B6">
        <w:rPr>
          <w:rFonts w:asciiTheme="majorBidi" w:hAnsiTheme="majorBidi" w:cstheme="majorBidi"/>
          <w:i/>
          <w:iCs/>
        </w:rPr>
        <w:t>The war ledger</w:t>
      </w:r>
      <w:r w:rsidRPr="00B921B6">
        <w:rPr>
          <w:rFonts w:asciiTheme="majorBidi" w:hAnsiTheme="majorBidi" w:cstheme="majorBidi"/>
        </w:rPr>
        <w:t>. University of Chicago Press.</w:t>
      </w:r>
    </w:p>
    <w:p w14:paraId="499F9FFA"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Schulter, J. A. (2020). An adapted Organski transition model for the twenty-first century. </w:t>
      </w:r>
      <w:r w:rsidRPr="00B921B6">
        <w:rPr>
          <w:rFonts w:asciiTheme="majorBidi" w:hAnsiTheme="majorBidi" w:cstheme="majorBidi"/>
          <w:i/>
          <w:iCs/>
        </w:rPr>
        <w:t>Hentedato</w:t>
      </w:r>
      <w:r w:rsidRPr="00B921B6">
        <w:rPr>
          <w:rFonts w:asciiTheme="majorBidi" w:hAnsiTheme="majorBidi" w:cstheme="majorBidi"/>
        </w:rPr>
        <w:t>, *16*, 1–18.</w:t>
      </w:r>
    </w:p>
    <w:p w14:paraId="0BC928F1"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Tammen, R. L. (2008). The Organski legacy: A fifty-year research program. </w:t>
      </w:r>
      <w:r w:rsidRPr="00B921B6">
        <w:rPr>
          <w:rFonts w:asciiTheme="majorBidi" w:hAnsiTheme="majorBidi" w:cstheme="majorBidi"/>
          <w:i/>
          <w:iCs/>
        </w:rPr>
        <w:t>International Interactions</w:t>
      </w:r>
      <w:r w:rsidRPr="00B921B6">
        <w:rPr>
          <w:rFonts w:asciiTheme="majorBidi" w:hAnsiTheme="majorBidi" w:cstheme="majorBidi"/>
        </w:rPr>
        <w:t>, *34*(4), 314–332. </w:t>
      </w:r>
      <w:hyperlink r:id="rId18" w:tgtFrame="_blank" w:history="1">
        <w:r w:rsidRPr="00B921B6">
          <w:rPr>
            <w:rStyle w:val="Hyperlink"/>
            <w:rFonts w:asciiTheme="majorBidi" w:hAnsiTheme="majorBidi" w:cstheme="majorBidi"/>
          </w:rPr>
          <w:t>https://doi.org/10.1080/03050620802518357</w:t>
        </w:r>
      </w:hyperlink>
    </w:p>
    <w:p w14:paraId="3F346757"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Thomas, G. W. (2012). Governance, good governance, and global governance: Conceptual and actual challenges. In </w:t>
      </w:r>
      <w:r w:rsidRPr="00B921B6">
        <w:rPr>
          <w:rFonts w:asciiTheme="majorBidi" w:hAnsiTheme="majorBidi" w:cstheme="majorBidi"/>
          <w:i/>
          <w:iCs/>
        </w:rPr>
        <w:t>Thinking about global governance</w:t>
      </w:r>
      <w:r w:rsidRPr="00B921B6">
        <w:rPr>
          <w:rFonts w:asciiTheme="majorBidi" w:hAnsiTheme="majorBidi" w:cstheme="majorBidi"/>
        </w:rPr>
        <w:t> (pp. 168–189). Routledge.</w:t>
      </w:r>
    </w:p>
    <w:p w14:paraId="586D3A83"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t>Torjesen, S. (2018). Power transition theory and the rise of China. </w:t>
      </w:r>
      <w:r w:rsidRPr="00B921B6">
        <w:rPr>
          <w:rFonts w:asciiTheme="majorBidi" w:hAnsiTheme="majorBidi" w:cstheme="majorBidi"/>
          <w:i/>
          <w:iCs/>
        </w:rPr>
        <w:t>International Studies Review</w:t>
      </w:r>
      <w:r w:rsidRPr="00B921B6">
        <w:rPr>
          <w:rFonts w:asciiTheme="majorBidi" w:hAnsiTheme="majorBidi" w:cstheme="majorBidi"/>
        </w:rPr>
        <w:t>, *20*(1), 44–51. </w:t>
      </w:r>
      <w:hyperlink r:id="rId19" w:tgtFrame="_blank" w:history="1">
        <w:r w:rsidRPr="00B921B6">
          <w:rPr>
            <w:rStyle w:val="Hyperlink"/>
            <w:rFonts w:asciiTheme="majorBidi" w:hAnsiTheme="majorBidi" w:cstheme="majorBidi"/>
          </w:rPr>
          <w:t>https://doi.org/10.1093/isr/vix058</w:t>
        </w:r>
      </w:hyperlink>
    </w:p>
    <w:p w14:paraId="716A9F7C" w14:textId="77777777" w:rsidR="00E80C18" w:rsidRPr="00B921B6" w:rsidRDefault="00E80C18" w:rsidP="00E80C18">
      <w:pPr>
        <w:jc w:val="both"/>
        <w:rPr>
          <w:rFonts w:asciiTheme="majorBidi" w:hAnsiTheme="majorBidi" w:cstheme="majorBidi"/>
        </w:rPr>
      </w:pPr>
      <w:r w:rsidRPr="00B921B6">
        <w:rPr>
          <w:rFonts w:asciiTheme="majorBidi" w:hAnsiTheme="majorBidi" w:cstheme="majorBidi"/>
        </w:rPr>
        <w:lastRenderedPageBreak/>
        <w:t>Wang, W. (2016). How to maintain peaceful Sino-US relations: A critical analysis of the power transition theory. </w:t>
      </w:r>
      <w:r w:rsidRPr="00B921B6">
        <w:rPr>
          <w:rFonts w:asciiTheme="majorBidi" w:hAnsiTheme="majorBidi" w:cstheme="majorBidi"/>
          <w:i/>
          <w:iCs/>
        </w:rPr>
        <w:t>Asian Education and Development Studies</w:t>
      </w:r>
      <w:r w:rsidRPr="00B921B6">
        <w:rPr>
          <w:rFonts w:asciiTheme="majorBidi" w:hAnsiTheme="majorBidi" w:cstheme="majorBidi"/>
        </w:rPr>
        <w:t>, *5*(3), 278–287. </w:t>
      </w:r>
      <w:hyperlink r:id="rId20" w:tgtFrame="_blank" w:history="1">
        <w:r w:rsidRPr="00B921B6">
          <w:rPr>
            <w:rStyle w:val="Hyperlink"/>
            <w:rFonts w:asciiTheme="majorBidi" w:hAnsiTheme="majorBidi" w:cstheme="majorBidi"/>
          </w:rPr>
          <w:t>https://doi.org/10.1108/AEDS-10-2015-0052</w:t>
        </w:r>
      </w:hyperlink>
    </w:p>
    <w:p w14:paraId="22754778" w14:textId="77777777" w:rsidR="00E80C18" w:rsidRPr="00D650D0" w:rsidRDefault="00E80C18" w:rsidP="00E80C18">
      <w:pPr>
        <w:jc w:val="both"/>
        <w:rPr>
          <w:rFonts w:asciiTheme="majorBidi" w:hAnsiTheme="majorBidi" w:cstheme="majorBidi"/>
          <w:lang w:val="en-GB"/>
        </w:rPr>
      </w:pPr>
    </w:p>
    <w:p w14:paraId="61267F83" w14:textId="77777777" w:rsidR="00E80C18" w:rsidRPr="00E80C18" w:rsidRDefault="00E80C18" w:rsidP="00E80C18">
      <w:pPr>
        <w:spacing w:line="360" w:lineRule="auto"/>
        <w:jc w:val="both"/>
        <w:rPr>
          <w:rFonts w:asciiTheme="majorBidi" w:hAnsiTheme="majorBidi" w:cstheme="majorBidi"/>
        </w:rPr>
      </w:pPr>
    </w:p>
    <w:p w14:paraId="148577B6" w14:textId="77777777" w:rsidR="009E283F" w:rsidRPr="00E80C18" w:rsidRDefault="009E283F" w:rsidP="009E283F">
      <w:pPr>
        <w:spacing w:line="360" w:lineRule="auto"/>
        <w:rPr>
          <w:rFonts w:asciiTheme="majorBidi" w:hAnsiTheme="majorBidi" w:cstheme="majorBidi"/>
        </w:rPr>
      </w:pPr>
    </w:p>
    <w:p w14:paraId="2DC9E560" w14:textId="77777777" w:rsidR="009E283F" w:rsidRPr="009E283F" w:rsidRDefault="009E283F" w:rsidP="009E283F">
      <w:pPr>
        <w:spacing w:line="360" w:lineRule="auto"/>
        <w:jc w:val="both"/>
        <w:rPr>
          <w:rFonts w:asciiTheme="majorBidi" w:hAnsiTheme="majorBidi" w:cstheme="majorBidi"/>
          <w:sz w:val="24"/>
          <w:szCs w:val="24"/>
        </w:rPr>
      </w:pPr>
    </w:p>
    <w:sectPr w:rsidR="009E283F" w:rsidRPr="009E283F">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21899" w14:textId="77777777" w:rsidR="001C22EC" w:rsidRDefault="001C22EC" w:rsidP="00A51D6B">
      <w:pPr>
        <w:spacing w:after="0" w:line="240" w:lineRule="auto"/>
      </w:pPr>
      <w:r>
        <w:separator/>
      </w:r>
    </w:p>
  </w:endnote>
  <w:endnote w:type="continuationSeparator" w:id="0">
    <w:p w14:paraId="568938C4" w14:textId="77777777" w:rsidR="001C22EC" w:rsidRDefault="001C22EC" w:rsidP="00A51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7816971"/>
      <w:docPartObj>
        <w:docPartGallery w:val="Page Numbers (Bottom of Page)"/>
        <w:docPartUnique/>
      </w:docPartObj>
    </w:sdtPr>
    <w:sdtEndPr>
      <w:rPr>
        <w:noProof/>
      </w:rPr>
    </w:sdtEndPr>
    <w:sdtContent>
      <w:p w14:paraId="4AAD3C29" w14:textId="06563E2F" w:rsidR="00A51D6B" w:rsidRDefault="00A51D6B">
        <w:pPr>
          <w:pStyle w:val="ab"/>
          <w:jc w:val="center"/>
        </w:pPr>
        <w:r>
          <w:fldChar w:fldCharType="begin"/>
        </w:r>
        <w:r>
          <w:instrText xml:space="preserve"> PAGE   \* MERGEFORMAT </w:instrText>
        </w:r>
        <w:r>
          <w:fldChar w:fldCharType="separate"/>
        </w:r>
        <w:r w:rsidR="00CA5235">
          <w:rPr>
            <w:noProof/>
          </w:rPr>
          <w:t>1</w:t>
        </w:r>
        <w:r>
          <w:rPr>
            <w:noProof/>
          </w:rPr>
          <w:fldChar w:fldCharType="end"/>
        </w:r>
      </w:p>
    </w:sdtContent>
  </w:sdt>
  <w:p w14:paraId="5C0AD406" w14:textId="77777777" w:rsidR="00A51D6B" w:rsidRDefault="00A51D6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617D" w14:textId="77777777" w:rsidR="001C22EC" w:rsidRDefault="001C22EC" w:rsidP="00A51D6B">
      <w:pPr>
        <w:spacing w:after="0" w:line="240" w:lineRule="auto"/>
      </w:pPr>
      <w:r>
        <w:separator/>
      </w:r>
    </w:p>
  </w:footnote>
  <w:footnote w:type="continuationSeparator" w:id="0">
    <w:p w14:paraId="5E564A5E" w14:textId="77777777" w:rsidR="001C22EC" w:rsidRDefault="001C22EC" w:rsidP="00A51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91813"/>
    <w:multiLevelType w:val="multilevel"/>
    <w:tmpl w:val="85C8E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DB5"/>
    <w:rsid w:val="000D70C8"/>
    <w:rsid w:val="001C22EC"/>
    <w:rsid w:val="005347B6"/>
    <w:rsid w:val="0056575F"/>
    <w:rsid w:val="007C2DB5"/>
    <w:rsid w:val="009E283F"/>
    <w:rsid w:val="00A128D7"/>
    <w:rsid w:val="00A51D6B"/>
    <w:rsid w:val="00CA2368"/>
    <w:rsid w:val="00CA5235"/>
    <w:rsid w:val="00E77002"/>
    <w:rsid w:val="00E80C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3418"/>
  <w15:chartTrackingRefBased/>
  <w15:docId w15:val="{94BE4156-1C2B-47C1-91AF-CE564F159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7C2DB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Char"/>
    <w:uiPriority w:val="9"/>
    <w:semiHidden/>
    <w:unhideWhenUsed/>
    <w:qFormat/>
    <w:rsid w:val="007C2DB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Char"/>
    <w:uiPriority w:val="9"/>
    <w:semiHidden/>
    <w:unhideWhenUsed/>
    <w:qFormat/>
    <w:rsid w:val="007C2DB5"/>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Char"/>
    <w:uiPriority w:val="9"/>
    <w:semiHidden/>
    <w:unhideWhenUsed/>
    <w:qFormat/>
    <w:rsid w:val="007C2DB5"/>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Char"/>
    <w:uiPriority w:val="9"/>
    <w:semiHidden/>
    <w:unhideWhenUsed/>
    <w:qFormat/>
    <w:rsid w:val="007C2DB5"/>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Char"/>
    <w:uiPriority w:val="9"/>
    <w:semiHidden/>
    <w:unhideWhenUsed/>
    <w:qFormat/>
    <w:rsid w:val="007C2DB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C2DB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C2DB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C2DB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7C2DB5"/>
    <w:rPr>
      <w:rFonts w:asciiTheme="majorHAnsi" w:eastAsiaTheme="majorEastAsia" w:hAnsiTheme="majorHAnsi" w:cstheme="majorBidi"/>
      <w:color w:val="365F91" w:themeColor="accent1" w:themeShade="BF"/>
      <w:sz w:val="40"/>
      <w:szCs w:val="40"/>
    </w:rPr>
  </w:style>
  <w:style w:type="character" w:customStyle="1" w:styleId="2Char">
    <w:name w:val="عنوان 2 Char"/>
    <w:basedOn w:val="a0"/>
    <w:link w:val="2"/>
    <w:uiPriority w:val="9"/>
    <w:semiHidden/>
    <w:rsid w:val="007C2DB5"/>
    <w:rPr>
      <w:rFonts w:asciiTheme="majorHAnsi" w:eastAsiaTheme="majorEastAsia" w:hAnsiTheme="majorHAnsi" w:cstheme="majorBidi"/>
      <w:color w:val="365F91" w:themeColor="accent1" w:themeShade="BF"/>
      <w:sz w:val="32"/>
      <w:szCs w:val="32"/>
    </w:rPr>
  </w:style>
  <w:style w:type="character" w:customStyle="1" w:styleId="3Char">
    <w:name w:val="عنوان 3 Char"/>
    <w:basedOn w:val="a0"/>
    <w:link w:val="3"/>
    <w:uiPriority w:val="9"/>
    <w:semiHidden/>
    <w:rsid w:val="007C2DB5"/>
    <w:rPr>
      <w:rFonts w:eastAsiaTheme="majorEastAsia" w:cstheme="majorBidi"/>
      <w:color w:val="365F91" w:themeColor="accent1" w:themeShade="BF"/>
      <w:sz w:val="28"/>
      <w:szCs w:val="28"/>
    </w:rPr>
  </w:style>
  <w:style w:type="character" w:customStyle="1" w:styleId="4Char">
    <w:name w:val="عنوان 4 Char"/>
    <w:basedOn w:val="a0"/>
    <w:link w:val="4"/>
    <w:uiPriority w:val="9"/>
    <w:semiHidden/>
    <w:rsid w:val="007C2DB5"/>
    <w:rPr>
      <w:rFonts w:eastAsiaTheme="majorEastAsia" w:cstheme="majorBidi"/>
      <w:i/>
      <w:iCs/>
      <w:color w:val="365F91" w:themeColor="accent1" w:themeShade="BF"/>
    </w:rPr>
  </w:style>
  <w:style w:type="character" w:customStyle="1" w:styleId="5Char">
    <w:name w:val="عنوان 5 Char"/>
    <w:basedOn w:val="a0"/>
    <w:link w:val="5"/>
    <w:uiPriority w:val="9"/>
    <w:semiHidden/>
    <w:rsid w:val="007C2DB5"/>
    <w:rPr>
      <w:rFonts w:eastAsiaTheme="majorEastAsia" w:cstheme="majorBidi"/>
      <w:color w:val="365F91" w:themeColor="accent1" w:themeShade="BF"/>
    </w:rPr>
  </w:style>
  <w:style w:type="character" w:customStyle="1" w:styleId="6Char">
    <w:name w:val="عنوان 6 Char"/>
    <w:basedOn w:val="a0"/>
    <w:link w:val="6"/>
    <w:uiPriority w:val="9"/>
    <w:semiHidden/>
    <w:rsid w:val="007C2DB5"/>
    <w:rPr>
      <w:rFonts w:eastAsiaTheme="majorEastAsia" w:cstheme="majorBidi"/>
      <w:i/>
      <w:iCs/>
      <w:color w:val="595959" w:themeColor="text1" w:themeTint="A6"/>
    </w:rPr>
  </w:style>
  <w:style w:type="character" w:customStyle="1" w:styleId="7Char">
    <w:name w:val="عنوان 7 Char"/>
    <w:basedOn w:val="a0"/>
    <w:link w:val="7"/>
    <w:uiPriority w:val="9"/>
    <w:semiHidden/>
    <w:rsid w:val="007C2DB5"/>
    <w:rPr>
      <w:rFonts w:eastAsiaTheme="majorEastAsia" w:cstheme="majorBidi"/>
      <w:color w:val="595959" w:themeColor="text1" w:themeTint="A6"/>
    </w:rPr>
  </w:style>
  <w:style w:type="character" w:customStyle="1" w:styleId="8Char">
    <w:name w:val="عنوان 8 Char"/>
    <w:basedOn w:val="a0"/>
    <w:link w:val="8"/>
    <w:uiPriority w:val="9"/>
    <w:semiHidden/>
    <w:rsid w:val="007C2DB5"/>
    <w:rPr>
      <w:rFonts w:eastAsiaTheme="majorEastAsia" w:cstheme="majorBidi"/>
      <w:i/>
      <w:iCs/>
      <w:color w:val="272727" w:themeColor="text1" w:themeTint="D8"/>
    </w:rPr>
  </w:style>
  <w:style w:type="character" w:customStyle="1" w:styleId="9Char">
    <w:name w:val="عنوان 9 Char"/>
    <w:basedOn w:val="a0"/>
    <w:link w:val="9"/>
    <w:uiPriority w:val="9"/>
    <w:semiHidden/>
    <w:rsid w:val="007C2DB5"/>
    <w:rPr>
      <w:rFonts w:eastAsiaTheme="majorEastAsia" w:cstheme="majorBidi"/>
      <w:color w:val="272727" w:themeColor="text1" w:themeTint="D8"/>
    </w:rPr>
  </w:style>
  <w:style w:type="paragraph" w:styleId="a3">
    <w:name w:val="Title"/>
    <w:basedOn w:val="a"/>
    <w:next w:val="a"/>
    <w:link w:val="Char"/>
    <w:uiPriority w:val="10"/>
    <w:qFormat/>
    <w:rsid w:val="007C2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7C2DB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C2DB5"/>
    <w:pPr>
      <w:numPr>
        <w:ilvl w:val="1"/>
      </w:numPr>
      <w:spacing w:after="160"/>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7C2DB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C2DB5"/>
    <w:pPr>
      <w:spacing w:before="160" w:after="160"/>
      <w:jc w:val="center"/>
    </w:pPr>
    <w:rPr>
      <w:i/>
      <w:iCs/>
      <w:color w:val="404040" w:themeColor="text1" w:themeTint="BF"/>
    </w:rPr>
  </w:style>
  <w:style w:type="character" w:customStyle="1" w:styleId="Char1">
    <w:name w:val="اقتباس Char"/>
    <w:basedOn w:val="a0"/>
    <w:link w:val="a5"/>
    <w:uiPriority w:val="29"/>
    <w:rsid w:val="007C2DB5"/>
    <w:rPr>
      <w:i/>
      <w:iCs/>
      <w:color w:val="404040" w:themeColor="text1" w:themeTint="BF"/>
    </w:rPr>
  </w:style>
  <w:style w:type="paragraph" w:styleId="a6">
    <w:name w:val="List Paragraph"/>
    <w:basedOn w:val="a"/>
    <w:uiPriority w:val="34"/>
    <w:qFormat/>
    <w:rsid w:val="007C2DB5"/>
    <w:pPr>
      <w:ind w:left="720"/>
      <w:contextualSpacing/>
    </w:pPr>
  </w:style>
  <w:style w:type="character" w:styleId="a7">
    <w:name w:val="Intense Emphasis"/>
    <w:basedOn w:val="a0"/>
    <w:uiPriority w:val="21"/>
    <w:qFormat/>
    <w:rsid w:val="007C2DB5"/>
    <w:rPr>
      <w:i/>
      <w:iCs/>
      <w:color w:val="365F91" w:themeColor="accent1" w:themeShade="BF"/>
    </w:rPr>
  </w:style>
  <w:style w:type="paragraph" w:styleId="a8">
    <w:name w:val="Intense Quote"/>
    <w:basedOn w:val="a"/>
    <w:next w:val="a"/>
    <w:link w:val="Char2"/>
    <w:uiPriority w:val="30"/>
    <w:qFormat/>
    <w:rsid w:val="007C2DB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اقتباس مكثف Char"/>
    <w:basedOn w:val="a0"/>
    <w:link w:val="a8"/>
    <w:uiPriority w:val="30"/>
    <w:rsid w:val="007C2DB5"/>
    <w:rPr>
      <w:i/>
      <w:iCs/>
      <w:color w:val="365F91" w:themeColor="accent1" w:themeShade="BF"/>
    </w:rPr>
  </w:style>
  <w:style w:type="character" w:styleId="a9">
    <w:name w:val="Intense Reference"/>
    <w:basedOn w:val="a0"/>
    <w:uiPriority w:val="32"/>
    <w:qFormat/>
    <w:rsid w:val="007C2DB5"/>
    <w:rPr>
      <w:b/>
      <w:bCs/>
      <w:smallCaps/>
      <w:color w:val="365F91" w:themeColor="accent1" w:themeShade="BF"/>
      <w:spacing w:val="5"/>
    </w:rPr>
  </w:style>
  <w:style w:type="character" w:styleId="Hyperlink">
    <w:name w:val="Hyperlink"/>
    <w:basedOn w:val="a0"/>
    <w:uiPriority w:val="99"/>
    <w:unhideWhenUsed/>
    <w:rsid w:val="009E283F"/>
    <w:rPr>
      <w:color w:val="0000FF" w:themeColor="hyperlink"/>
      <w:u w:val="single"/>
    </w:rPr>
  </w:style>
  <w:style w:type="paragraph" w:styleId="aa">
    <w:name w:val="header"/>
    <w:basedOn w:val="a"/>
    <w:link w:val="Char3"/>
    <w:uiPriority w:val="99"/>
    <w:unhideWhenUsed/>
    <w:rsid w:val="00A51D6B"/>
    <w:pPr>
      <w:tabs>
        <w:tab w:val="center" w:pos="4680"/>
        <w:tab w:val="right" w:pos="9360"/>
      </w:tabs>
      <w:spacing w:after="0" w:line="240" w:lineRule="auto"/>
    </w:pPr>
  </w:style>
  <w:style w:type="character" w:customStyle="1" w:styleId="Char3">
    <w:name w:val="رأس الصفحة Char"/>
    <w:basedOn w:val="a0"/>
    <w:link w:val="aa"/>
    <w:uiPriority w:val="99"/>
    <w:rsid w:val="00A51D6B"/>
  </w:style>
  <w:style w:type="paragraph" w:styleId="ab">
    <w:name w:val="footer"/>
    <w:basedOn w:val="a"/>
    <w:link w:val="Char4"/>
    <w:uiPriority w:val="99"/>
    <w:unhideWhenUsed/>
    <w:rsid w:val="00A51D6B"/>
    <w:pPr>
      <w:tabs>
        <w:tab w:val="center" w:pos="4680"/>
        <w:tab w:val="right" w:pos="9360"/>
      </w:tabs>
      <w:spacing w:after="0" w:line="240" w:lineRule="auto"/>
    </w:pPr>
  </w:style>
  <w:style w:type="character" w:customStyle="1" w:styleId="Char4">
    <w:name w:val="تذييل الصفحة Char"/>
    <w:basedOn w:val="a0"/>
    <w:link w:val="ab"/>
    <w:uiPriority w:val="99"/>
    <w:rsid w:val="00A51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6507">
      <w:bodyDiv w:val="1"/>
      <w:marLeft w:val="0"/>
      <w:marRight w:val="0"/>
      <w:marTop w:val="0"/>
      <w:marBottom w:val="0"/>
      <w:divBdr>
        <w:top w:val="none" w:sz="0" w:space="0" w:color="auto"/>
        <w:left w:val="none" w:sz="0" w:space="0" w:color="auto"/>
        <w:bottom w:val="none" w:sz="0" w:space="0" w:color="auto"/>
        <w:right w:val="none" w:sz="0" w:space="0" w:color="auto"/>
      </w:divBdr>
    </w:div>
    <w:div w:id="146868398">
      <w:bodyDiv w:val="1"/>
      <w:marLeft w:val="0"/>
      <w:marRight w:val="0"/>
      <w:marTop w:val="0"/>
      <w:marBottom w:val="0"/>
      <w:divBdr>
        <w:top w:val="none" w:sz="0" w:space="0" w:color="auto"/>
        <w:left w:val="none" w:sz="0" w:space="0" w:color="auto"/>
        <w:bottom w:val="none" w:sz="0" w:space="0" w:color="auto"/>
        <w:right w:val="none" w:sz="0" w:space="0" w:color="auto"/>
      </w:divBdr>
    </w:div>
    <w:div w:id="176309903">
      <w:bodyDiv w:val="1"/>
      <w:marLeft w:val="0"/>
      <w:marRight w:val="0"/>
      <w:marTop w:val="0"/>
      <w:marBottom w:val="0"/>
      <w:divBdr>
        <w:top w:val="none" w:sz="0" w:space="0" w:color="auto"/>
        <w:left w:val="none" w:sz="0" w:space="0" w:color="auto"/>
        <w:bottom w:val="none" w:sz="0" w:space="0" w:color="auto"/>
        <w:right w:val="none" w:sz="0" w:space="0" w:color="auto"/>
      </w:divBdr>
    </w:div>
    <w:div w:id="332611318">
      <w:bodyDiv w:val="1"/>
      <w:marLeft w:val="0"/>
      <w:marRight w:val="0"/>
      <w:marTop w:val="0"/>
      <w:marBottom w:val="0"/>
      <w:divBdr>
        <w:top w:val="none" w:sz="0" w:space="0" w:color="auto"/>
        <w:left w:val="none" w:sz="0" w:space="0" w:color="auto"/>
        <w:bottom w:val="none" w:sz="0" w:space="0" w:color="auto"/>
        <w:right w:val="none" w:sz="0" w:space="0" w:color="auto"/>
      </w:divBdr>
    </w:div>
    <w:div w:id="461312648">
      <w:bodyDiv w:val="1"/>
      <w:marLeft w:val="0"/>
      <w:marRight w:val="0"/>
      <w:marTop w:val="0"/>
      <w:marBottom w:val="0"/>
      <w:divBdr>
        <w:top w:val="none" w:sz="0" w:space="0" w:color="auto"/>
        <w:left w:val="none" w:sz="0" w:space="0" w:color="auto"/>
        <w:bottom w:val="none" w:sz="0" w:space="0" w:color="auto"/>
        <w:right w:val="none" w:sz="0" w:space="0" w:color="auto"/>
      </w:divBdr>
    </w:div>
    <w:div w:id="685403264">
      <w:bodyDiv w:val="1"/>
      <w:marLeft w:val="0"/>
      <w:marRight w:val="0"/>
      <w:marTop w:val="0"/>
      <w:marBottom w:val="0"/>
      <w:divBdr>
        <w:top w:val="none" w:sz="0" w:space="0" w:color="auto"/>
        <w:left w:val="none" w:sz="0" w:space="0" w:color="auto"/>
        <w:bottom w:val="none" w:sz="0" w:space="0" w:color="auto"/>
        <w:right w:val="none" w:sz="0" w:space="0" w:color="auto"/>
      </w:divBdr>
    </w:div>
    <w:div w:id="689183268">
      <w:bodyDiv w:val="1"/>
      <w:marLeft w:val="0"/>
      <w:marRight w:val="0"/>
      <w:marTop w:val="0"/>
      <w:marBottom w:val="0"/>
      <w:divBdr>
        <w:top w:val="none" w:sz="0" w:space="0" w:color="auto"/>
        <w:left w:val="none" w:sz="0" w:space="0" w:color="auto"/>
        <w:bottom w:val="none" w:sz="0" w:space="0" w:color="auto"/>
        <w:right w:val="none" w:sz="0" w:space="0" w:color="auto"/>
      </w:divBdr>
    </w:div>
    <w:div w:id="691027566">
      <w:bodyDiv w:val="1"/>
      <w:marLeft w:val="0"/>
      <w:marRight w:val="0"/>
      <w:marTop w:val="0"/>
      <w:marBottom w:val="0"/>
      <w:divBdr>
        <w:top w:val="none" w:sz="0" w:space="0" w:color="auto"/>
        <w:left w:val="none" w:sz="0" w:space="0" w:color="auto"/>
        <w:bottom w:val="none" w:sz="0" w:space="0" w:color="auto"/>
        <w:right w:val="none" w:sz="0" w:space="0" w:color="auto"/>
      </w:divBdr>
    </w:div>
    <w:div w:id="719982909">
      <w:bodyDiv w:val="1"/>
      <w:marLeft w:val="0"/>
      <w:marRight w:val="0"/>
      <w:marTop w:val="0"/>
      <w:marBottom w:val="0"/>
      <w:divBdr>
        <w:top w:val="none" w:sz="0" w:space="0" w:color="auto"/>
        <w:left w:val="none" w:sz="0" w:space="0" w:color="auto"/>
        <w:bottom w:val="none" w:sz="0" w:space="0" w:color="auto"/>
        <w:right w:val="none" w:sz="0" w:space="0" w:color="auto"/>
      </w:divBdr>
    </w:div>
    <w:div w:id="784887469">
      <w:bodyDiv w:val="1"/>
      <w:marLeft w:val="0"/>
      <w:marRight w:val="0"/>
      <w:marTop w:val="0"/>
      <w:marBottom w:val="0"/>
      <w:divBdr>
        <w:top w:val="none" w:sz="0" w:space="0" w:color="auto"/>
        <w:left w:val="none" w:sz="0" w:space="0" w:color="auto"/>
        <w:bottom w:val="none" w:sz="0" w:space="0" w:color="auto"/>
        <w:right w:val="none" w:sz="0" w:space="0" w:color="auto"/>
      </w:divBdr>
      <w:divsChild>
        <w:div w:id="1135416238">
          <w:blockQuote w:val="1"/>
          <w:marLeft w:val="720"/>
          <w:marRight w:val="720"/>
          <w:marTop w:val="100"/>
          <w:marBottom w:val="100"/>
          <w:divBdr>
            <w:top w:val="none" w:sz="0" w:space="0" w:color="auto"/>
            <w:left w:val="none" w:sz="0" w:space="0" w:color="auto"/>
            <w:bottom w:val="none" w:sz="0" w:space="0" w:color="auto"/>
            <w:right w:val="none" w:sz="0" w:space="0" w:color="auto"/>
          </w:divBdr>
        </w:div>
        <w:div w:id="3911192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904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128498">
      <w:bodyDiv w:val="1"/>
      <w:marLeft w:val="0"/>
      <w:marRight w:val="0"/>
      <w:marTop w:val="0"/>
      <w:marBottom w:val="0"/>
      <w:divBdr>
        <w:top w:val="none" w:sz="0" w:space="0" w:color="auto"/>
        <w:left w:val="none" w:sz="0" w:space="0" w:color="auto"/>
        <w:bottom w:val="none" w:sz="0" w:space="0" w:color="auto"/>
        <w:right w:val="none" w:sz="0" w:space="0" w:color="auto"/>
      </w:divBdr>
    </w:div>
    <w:div w:id="1207261125">
      <w:bodyDiv w:val="1"/>
      <w:marLeft w:val="0"/>
      <w:marRight w:val="0"/>
      <w:marTop w:val="0"/>
      <w:marBottom w:val="0"/>
      <w:divBdr>
        <w:top w:val="none" w:sz="0" w:space="0" w:color="auto"/>
        <w:left w:val="none" w:sz="0" w:space="0" w:color="auto"/>
        <w:bottom w:val="none" w:sz="0" w:space="0" w:color="auto"/>
        <w:right w:val="none" w:sz="0" w:space="0" w:color="auto"/>
      </w:divBdr>
    </w:div>
    <w:div w:id="1320234295">
      <w:bodyDiv w:val="1"/>
      <w:marLeft w:val="0"/>
      <w:marRight w:val="0"/>
      <w:marTop w:val="0"/>
      <w:marBottom w:val="0"/>
      <w:divBdr>
        <w:top w:val="none" w:sz="0" w:space="0" w:color="auto"/>
        <w:left w:val="none" w:sz="0" w:space="0" w:color="auto"/>
        <w:bottom w:val="none" w:sz="0" w:space="0" w:color="auto"/>
        <w:right w:val="none" w:sz="0" w:space="0" w:color="auto"/>
      </w:divBdr>
    </w:div>
    <w:div w:id="1332293617">
      <w:bodyDiv w:val="1"/>
      <w:marLeft w:val="0"/>
      <w:marRight w:val="0"/>
      <w:marTop w:val="0"/>
      <w:marBottom w:val="0"/>
      <w:divBdr>
        <w:top w:val="none" w:sz="0" w:space="0" w:color="auto"/>
        <w:left w:val="none" w:sz="0" w:space="0" w:color="auto"/>
        <w:bottom w:val="none" w:sz="0" w:space="0" w:color="auto"/>
        <w:right w:val="none" w:sz="0" w:space="0" w:color="auto"/>
      </w:divBdr>
    </w:div>
    <w:div w:id="1429501202">
      <w:bodyDiv w:val="1"/>
      <w:marLeft w:val="0"/>
      <w:marRight w:val="0"/>
      <w:marTop w:val="0"/>
      <w:marBottom w:val="0"/>
      <w:divBdr>
        <w:top w:val="none" w:sz="0" w:space="0" w:color="auto"/>
        <w:left w:val="none" w:sz="0" w:space="0" w:color="auto"/>
        <w:bottom w:val="none" w:sz="0" w:space="0" w:color="auto"/>
        <w:right w:val="none" w:sz="0" w:space="0" w:color="auto"/>
      </w:divBdr>
      <w:divsChild>
        <w:div w:id="1224365167">
          <w:marLeft w:val="0"/>
          <w:marRight w:val="0"/>
          <w:marTop w:val="0"/>
          <w:marBottom w:val="0"/>
          <w:divBdr>
            <w:top w:val="none" w:sz="0" w:space="0" w:color="auto"/>
            <w:left w:val="none" w:sz="0" w:space="0" w:color="auto"/>
            <w:bottom w:val="none" w:sz="0" w:space="0" w:color="auto"/>
            <w:right w:val="none" w:sz="0" w:space="0" w:color="auto"/>
          </w:divBdr>
          <w:divsChild>
            <w:div w:id="690646799">
              <w:marLeft w:val="0"/>
              <w:marRight w:val="0"/>
              <w:marTop w:val="0"/>
              <w:marBottom w:val="0"/>
              <w:divBdr>
                <w:top w:val="none" w:sz="0" w:space="0" w:color="auto"/>
                <w:left w:val="none" w:sz="0" w:space="0" w:color="auto"/>
                <w:bottom w:val="none" w:sz="0" w:space="0" w:color="auto"/>
                <w:right w:val="none" w:sz="0" w:space="0" w:color="auto"/>
              </w:divBdr>
              <w:divsChild>
                <w:div w:id="2137597160">
                  <w:marLeft w:val="0"/>
                  <w:marRight w:val="0"/>
                  <w:marTop w:val="0"/>
                  <w:marBottom w:val="0"/>
                  <w:divBdr>
                    <w:top w:val="none" w:sz="0" w:space="0" w:color="auto"/>
                    <w:left w:val="none" w:sz="0" w:space="0" w:color="auto"/>
                    <w:bottom w:val="none" w:sz="0" w:space="0" w:color="auto"/>
                    <w:right w:val="none" w:sz="0" w:space="0" w:color="auto"/>
                  </w:divBdr>
                  <w:divsChild>
                    <w:div w:id="1117528246">
                      <w:marLeft w:val="0"/>
                      <w:marRight w:val="0"/>
                      <w:marTop w:val="0"/>
                      <w:marBottom w:val="0"/>
                      <w:divBdr>
                        <w:top w:val="none" w:sz="0" w:space="0" w:color="auto"/>
                        <w:left w:val="none" w:sz="0" w:space="0" w:color="auto"/>
                        <w:bottom w:val="none" w:sz="0" w:space="0" w:color="auto"/>
                        <w:right w:val="none" w:sz="0" w:space="0" w:color="auto"/>
                      </w:divBdr>
                      <w:divsChild>
                        <w:div w:id="1198859849">
                          <w:marLeft w:val="0"/>
                          <w:marRight w:val="0"/>
                          <w:marTop w:val="0"/>
                          <w:marBottom w:val="0"/>
                          <w:divBdr>
                            <w:top w:val="none" w:sz="0" w:space="0" w:color="auto"/>
                            <w:left w:val="none" w:sz="0" w:space="0" w:color="auto"/>
                            <w:bottom w:val="none" w:sz="0" w:space="0" w:color="auto"/>
                            <w:right w:val="none" w:sz="0" w:space="0" w:color="auto"/>
                          </w:divBdr>
                          <w:divsChild>
                            <w:div w:id="29768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238394">
                  <w:marLeft w:val="0"/>
                  <w:marRight w:val="0"/>
                  <w:marTop w:val="0"/>
                  <w:marBottom w:val="0"/>
                  <w:divBdr>
                    <w:top w:val="none" w:sz="0" w:space="0" w:color="auto"/>
                    <w:left w:val="none" w:sz="0" w:space="0" w:color="auto"/>
                    <w:bottom w:val="none" w:sz="0" w:space="0" w:color="auto"/>
                    <w:right w:val="none" w:sz="0" w:space="0" w:color="auto"/>
                  </w:divBdr>
                  <w:divsChild>
                    <w:div w:id="1944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18586">
      <w:bodyDiv w:val="1"/>
      <w:marLeft w:val="0"/>
      <w:marRight w:val="0"/>
      <w:marTop w:val="0"/>
      <w:marBottom w:val="0"/>
      <w:divBdr>
        <w:top w:val="none" w:sz="0" w:space="0" w:color="auto"/>
        <w:left w:val="none" w:sz="0" w:space="0" w:color="auto"/>
        <w:bottom w:val="none" w:sz="0" w:space="0" w:color="auto"/>
        <w:right w:val="none" w:sz="0" w:space="0" w:color="auto"/>
      </w:divBdr>
    </w:div>
    <w:div w:id="1630471944">
      <w:bodyDiv w:val="1"/>
      <w:marLeft w:val="0"/>
      <w:marRight w:val="0"/>
      <w:marTop w:val="0"/>
      <w:marBottom w:val="0"/>
      <w:divBdr>
        <w:top w:val="none" w:sz="0" w:space="0" w:color="auto"/>
        <w:left w:val="none" w:sz="0" w:space="0" w:color="auto"/>
        <w:bottom w:val="none" w:sz="0" w:space="0" w:color="auto"/>
        <w:right w:val="none" w:sz="0" w:space="0" w:color="auto"/>
      </w:divBdr>
      <w:divsChild>
        <w:div w:id="1866210695">
          <w:marLeft w:val="0"/>
          <w:marRight w:val="0"/>
          <w:marTop w:val="0"/>
          <w:marBottom w:val="0"/>
          <w:divBdr>
            <w:top w:val="none" w:sz="0" w:space="0" w:color="auto"/>
            <w:left w:val="none" w:sz="0" w:space="0" w:color="auto"/>
            <w:bottom w:val="none" w:sz="0" w:space="0" w:color="auto"/>
            <w:right w:val="none" w:sz="0" w:space="0" w:color="auto"/>
          </w:divBdr>
          <w:divsChild>
            <w:div w:id="564998450">
              <w:marLeft w:val="0"/>
              <w:marRight w:val="0"/>
              <w:marTop w:val="0"/>
              <w:marBottom w:val="0"/>
              <w:divBdr>
                <w:top w:val="none" w:sz="0" w:space="0" w:color="auto"/>
                <w:left w:val="none" w:sz="0" w:space="0" w:color="auto"/>
                <w:bottom w:val="none" w:sz="0" w:space="0" w:color="auto"/>
                <w:right w:val="none" w:sz="0" w:space="0" w:color="auto"/>
              </w:divBdr>
              <w:divsChild>
                <w:div w:id="1461924577">
                  <w:marLeft w:val="0"/>
                  <w:marRight w:val="0"/>
                  <w:marTop w:val="0"/>
                  <w:marBottom w:val="0"/>
                  <w:divBdr>
                    <w:top w:val="none" w:sz="0" w:space="0" w:color="auto"/>
                    <w:left w:val="none" w:sz="0" w:space="0" w:color="auto"/>
                    <w:bottom w:val="none" w:sz="0" w:space="0" w:color="auto"/>
                    <w:right w:val="none" w:sz="0" w:space="0" w:color="auto"/>
                  </w:divBdr>
                  <w:divsChild>
                    <w:div w:id="1560482426">
                      <w:marLeft w:val="0"/>
                      <w:marRight w:val="0"/>
                      <w:marTop w:val="0"/>
                      <w:marBottom w:val="0"/>
                      <w:divBdr>
                        <w:top w:val="none" w:sz="0" w:space="0" w:color="auto"/>
                        <w:left w:val="none" w:sz="0" w:space="0" w:color="auto"/>
                        <w:bottom w:val="none" w:sz="0" w:space="0" w:color="auto"/>
                        <w:right w:val="none" w:sz="0" w:space="0" w:color="auto"/>
                      </w:divBdr>
                      <w:divsChild>
                        <w:div w:id="1748451862">
                          <w:marLeft w:val="0"/>
                          <w:marRight w:val="0"/>
                          <w:marTop w:val="0"/>
                          <w:marBottom w:val="0"/>
                          <w:divBdr>
                            <w:top w:val="none" w:sz="0" w:space="0" w:color="auto"/>
                            <w:left w:val="none" w:sz="0" w:space="0" w:color="auto"/>
                            <w:bottom w:val="none" w:sz="0" w:space="0" w:color="auto"/>
                            <w:right w:val="none" w:sz="0" w:space="0" w:color="auto"/>
                          </w:divBdr>
                          <w:divsChild>
                            <w:div w:id="6026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89982">
                  <w:marLeft w:val="0"/>
                  <w:marRight w:val="0"/>
                  <w:marTop w:val="0"/>
                  <w:marBottom w:val="0"/>
                  <w:divBdr>
                    <w:top w:val="none" w:sz="0" w:space="0" w:color="auto"/>
                    <w:left w:val="none" w:sz="0" w:space="0" w:color="auto"/>
                    <w:bottom w:val="none" w:sz="0" w:space="0" w:color="auto"/>
                    <w:right w:val="none" w:sz="0" w:space="0" w:color="auto"/>
                  </w:divBdr>
                  <w:divsChild>
                    <w:div w:id="6430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404253">
      <w:bodyDiv w:val="1"/>
      <w:marLeft w:val="0"/>
      <w:marRight w:val="0"/>
      <w:marTop w:val="0"/>
      <w:marBottom w:val="0"/>
      <w:divBdr>
        <w:top w:val="none" w:sz="0" w:space="0" w:color="auto"/>
        <w:left w:val="none" w:sz="0" w:space="0" w:color="auto"/>
        <w:bottom w:val="none" w:sz="0" w:space="0" w:color="auto"/>
        <w:right w:val="none" w:sz="0" w:space="0" w:color="auto"/>
      </w:divBdr>
    </w:div>
    <w:div w:id="1754276488">
      <w:bodyDiv w:val="1"/>
      <w:marLeft w:val="0"/>
      <w:marRight w:val="0"/>
      <w:marTop w:val="0"/>
      <w:marBottom w:val="0"/>
      <w:divBdr>
        <w:top w:val="none" w:sz="0" w:space="0" w:color="auto"/>
        <w:left w:val="none" w:sz="0" w:space="0" w:color="auto"/>
        <w:bottom w:val="none" w:sz="0" w:space="0" w:color="auto"/>
        <w:right w:val="none" w:sz="0" w:space="0" w:color="auto"/>
      </w:divBdr>
      <w:divsChild>
        <w:div w:id="1680085727">
          <w:blockQuote w:val="1"/>
          <w:marLeft w:val="720"/>
          <w:marRight w:val="720"/>
          <w:marTop w:val="100"/>
          <w:marBottom w:val="100"/>
          <w:divBdr>
            <w:top w:val="none" w:sz="0" w:space="0" w:color="auto"/>
            <w:left w:val="none" w:sz="0" w:space="0" w:color="auto"/>
            <w:bottom w:val="none" w:sz="0" w:space="0" w:color="auto"/>
            <w:right w:val="none" w:sz="0" w:space="0" w:color="auto"/>
          </w:divBdr>
        </w:div>
        <w:div w:id="73868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52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753879">
      <w:bodyDiv w:val="1"/>
      <w:marLeft w:val="0"/>
      <w:marRight w:val="0"/>
      <w:marTop w:val="0"/>
      <w:marBottom w:val="0"/>
      <w:divBdr>
        <w:top w:val="none" w:sz="0" w:space="0" w:color="auto"/>
        <w:left w:val="none" w:sz="0" w:space="0" w:color="auto"/>
        <w:bottom w:val="none" w:sz="0" w:space="0" w:color="auto"/>
        <w:right w:val="none" w:sz="0" w:space="0" w:color="auto"/>
      </w:divBdr>
    </w:div>
    <w:div w:id="1824852676">
      <w:bodyDiv w:val="1"/>
      <w:marLeft w:val="0"/>
      <w:marRight w:val="0"/>
      <w:marTop w:val="0"/>
      <w:marBottom w:val="0"/>
      <w:divBdr>
        <w:top w:val="none" w:sz="0" w:space="0" w:color="auto"/>
        <w:left w:val="none" w:sz="0" w:space="0" w:color="auto"/>
        <w:bottom w:val="none" w:sz="0" w:space="0" w:color="auto"/>
        <w:right w:val="none" w:sz="0" w:space="0" w:color="auto"/>
      </w:divBdr>
    </w:div>
    <w:div w:id="1839736194">
      <w:bodyDiv w:val="1"/>
      <w:marLeft w:val="0"/>
      <w:marRight w:val="0"/>
      <w:marTop w:val="0"/>
      <w:marBottom w:val="0"/>
      <w:divBdr>
        <w:top w:val="none" w:sz="0" w:space="0" w:color="auto"/>
        <w:left w:val="none" w:sz="0" w:space="0" w:color="auto"/>
        <w:bottom w:val="none" w:sz="0" w:space="0" w:color="auto"/>
        <w:right w:val="none" w:sz="0" w:space="0" w:color="auto"/>
      </w:divBdr>
    </w:div>
    <w:div w:id="1844052946">
      <w:bodyDiv w:val="1"/>
      <w:marLeft w:val="0"/>
      <w:marRight w:val="0"/>
      <w:marTop w:val="0"/>
      <w:marBottom w:val="0"/>
      <w:divBdr>
        <w:top w:val="none" w:sz="0" w:space="0" w:color="auto"/>
        <w:left w:val="none" w:sz="0" w:space="0" w:color="auto"/>
        <w:bottom w:val="none" w:sz="0" w:space="0" w:color="auto"/>
        <w:right w:val="none" w:sz="0" w:space="0" w:color="auto"/>
      </w:divBdr>
    </w:div>
    <w:div w:id="1849756582">
      <w:bodyDiv w:val="1"/>
      <w:marLeft w:val="0"/>
      <w:marRight w:val="0"/>
      <w:marTop w:val="0"/>
      <w:marBottom w:val="0"/>
      <w:divBdr>
        <w:top w:val="none" w:sz="0" w:space="0" w:color="auto"/>
        <w:left w:val="none" w:sz="0" w:space="0" w:color="auto"/>
        <w:bottom w:val="none" w:sz="0" w:space="0" w:color="auto"/>
        <w:right w:val="none" w:sz="0" w:space="0" w:color="auto"/>
      </w:divBdr>
    </w:div>
    <w:div w:id="1951352729">
      <w:bodyDiv w:val="1"/>
      <w:marLeft w:val="0"/>
      <w:marRight w:val="0"/>
      <w:marTop w:val="0"/>
      <w:marBottom w:val="0"/>
      <w:divBdr>
        <w:top w:val="none" w:sz="0" w:space="0" w:color="auto"/>
        <w:left w:val="none" w:sz="0" w:space="0" w:color="auto"/>
        <w:bottom w:val="none" w:sz="0" w:space="0" w:color="auto"/>
        <w:right w:val="none" w:sz="0" w:space="0" w:color="auto"/>
      </w:divBdr>
      <w:divsChild>
        <w:div w:id="370110935">
          <w:marLeft w:val="0"/>
          <w:marRight w:val="0"/>
          <w:marTop w:val="0"/>
          <w:marBottom w:val="0"/>
          <w:divBdr>
            <w:top w:val="none" w:sz="0" w:space="0" w:color="auto"/>
            <w:left w:val="none" w:sz="0" w:space="0" w:color="auto"/>
            <w:bottom w:val="none" w:sz="0" w:space="0" w:color="auto"/>
            <w:right w:val="none" w:sz="0" w:space="0" w:color="auto"/>
          </w:divBdr>
          <w:divsChild>
            <w:div w:id="2012223013">
              <w:marLeft w:val="0"/>
              <w:marRight w:val="0"/>
              <w:marTop w:val="0"/>
              <w:marBottom w:val="0"/>
              <w:divBdr>
                <w:top w:val="none" w:sz="0" w:space="0" w:color="auto"/>
                <w:left w:val="none" w:sz="0" w:space="0" w:color="auto"/>
                <w:bottom w:val="none" w:sz="0" w:space="0" w:color="auto"/>
                <w:right w:val="none" w:sz="0" w:space="0" w:color="auto"/>
              </w:divBdr>
              <w:divsChild>
                <w:div w:id="1046830087">
                  <w:marLeft w:val="0"/>
                  <w:marRight w:val="0"/>
                  <w:marTop w:val="0"/>
                  <w:marBottom w:val="0"/>
                  <w:divBdr>
                    <w:top w:val="none" w:sz="0" w:space="0" w:color="auto"/>
                    <w:left w:val="none" w:sz="0" w:space="0" w:color="auto"/>
                    <w:bottom w:val="none" w:sz="0" w:space="0" w:color="auto"/>
                    <w:right w:val="none" w:sz="0" w:space="0" w:color="auto"/>
                  </w:divBdr>
                  <w:divsChild>
                    <w:div w:id="1867404349">
                      <w:marLeft w:val="0"/>
                      <w:marRight w:val="0"/>
                      <w:marTop w:val="0"/>
                      <w:marBottom w:val="0"/>
                      <w:divBdr>
                        <w:top w:val="none" w:sz="0" w:space="0" w:color="auto"/>
                        <w:left w:val="none" w:sz="0" w:space="0" w:color="auto"/>
                        <w:bottom w:val="none" w:sz="0" w:space="0" w:color="auto"/>
                        <w:right w:val="none" w:sz="0" w:space="0" w:color="auto"/>
                      </w:divBdr>
                      <w:divsChild>
                        <w:div w:id="748817205">
                          <w:marLeft w:val="0"/>
                          <w:marRight w:val="0"/>
                          <w:marTop w:val="0"/>
                          <w:marBottom w:val="0"/>
                          <w:divBdr>
                            <w:top w:val="none" w:sz="0" w:space="0" w:color="auto"/>
                            <w:left w:val="none" w:sz="0" w:space="0" w:color="auto"/>
                            <w:bottom w:val="none" w:sz="0" w:space="0" w:color="auto"/>
                            <w:right w:val="none" w:sz="0" w:space="0" w:color="auto"/>
                          </w:divBdr>
                          <w:divsChild>
                            <w:div w:id="30173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2178">
                  <w:marLeft w:val="0"/>
                  <w:marRight w:val="0"/>
                  <w:marTop w:val="0"/>
                  <w:marBottom w:val="0"/>
                  <w:divBdr>
                    <w:top w:val="none" w:sz="0" w:space="0" w:color="auto"/>
                    <w:left w:val="none" w:sz="0" w:space="0" w:color="auto"/>
                    <w:bottom w:val="none" w:sz="0" w:space="0" w:color="auto"/>
                    <w:right w:val="none" w:sz="0" w:space="0" w:color="auto"/>
                  </w:divBdr>
                  <w:divsChild>
                    <w:div w:id="43968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28820">
      <w:bodyDiv w:val="1"/>
      <w:marLeft w:val="0"/>
      <w:marRight w:val="0"/>
      <w:marTop w:val="0"/>
      <w:marBottom w:val="0"/>
      <w:divBdr>
        <w:top w:val="none" w:sz="0" w:space="0" w:color="auto"/>
        <w:left w:val="none" w:sz="0" w:space="0" w:color="auto"/>
        <w:bottom w:val="none" w:sz="0" w:space="0" w:color="auto"/>
        <w:right w:val="none" w:sz="0" w:space="0" w:color="auto"/>
      </w:divBdr>
      <w:divsChild>
        <w:div w:id="1524705870">
          <w:marLeft w:val="0"/>
          <w:marRight w:val="0"/>
          <w:marTop w:val="0"/>
          <w:marBottom w:val="0"/>
          <w:divBdr>
            <w:top w:val="none" w:sz="0" w:space="0" w:color="auto"/>
            <w:left w:val="none" w:sz="0" w:space="0" w:color="auto"/>
            <w:bottom w:val="none" w:sz="0" w:space="0" w:color="auto"/>
            <w:right w:val="none" w:sz="0" w:space="0" w:color="auto"/>
          </w:divBdr>
          <w:divsChild>
            <w:div w:id="1354576755">
              <w:marLeft w:val="0"/>
              <w:marRight w:val="0"/>
              <w:marTop w:val="0"/>
              <w:marBottom w:val="0"/>
              <w:divBdr>
                <w:top w:val="none" w:sz="0" w:space="0" w:color="auto"/>
                <w:left w:val="none" w:sz="0" w:space="0" w:color="auto"/>
                <w:bottom w:val="none" w:sz="0" w:space="0" w:color="auto"/>
                <w:right w:val="none" w:sz="0" w:space="0" w:color="auto"/>
              </w:divBdr>
              <w:divsChild>
                <w:div w:id="1282416883">
                  <w:marLeft w:val="0"/>
                  <w:marRight w:val="0"/>
                  <w:marTop w:val="0"/>
                  <w:marBottom w:val="0"/>
                  <w:divBdr>
                    <w:top w:val="none" w:sz="0" w:space="0" w:color="auto"/>
                    <w:left w:val="none" w:sz="0" w:space="0" w:color="auto"/>
                    <w:bottom w:val="none" w:sz="0" w:space="0" w:color="auto"/>
                    <w:right w:val="none" w:sz="0" w:space="0" w:color="auto"/>
                  </w:divBdr>
                  <w:divsChild>
                    <w:div w:id="792217030">
                      <w:marLeft w:val="0"/>
                      <w:marRight w:val="0"/>
                      <w:marTop w:val="0"/>
                      <w:marBottom w:val="0"/>
                      <w:divBdr>
                        <w:top w:val="none" w:sz="0" w:space="0" w:color="auto"/>
                        <w:left w:val="none" w:sz="0" w:space="0" w:color="auto"/>
                        <w:bottom w:val="none" w:sz="0" w:space="0" w:color="auto"/>
                        <w:right w:val="none" w:sz="0" w:space="0" w:color="auto"/>
                      </w:divBdr>
                      <w:divsChild>
                        <w:div w:id="1290043332">
                          <w:marLeft w:val="0"/>
                          <w:marRight w:val="0"/>
                          <w:marTop w:val="0"/>
                          <w:marBottom w:val="0"/>
                          <w:divBdr>
                            <w:top w:val="none" w:sz="0" w:space="0" w:color="auto"/>
                            <w:left w:val="none" w:sz="0" w:space="0" w:color="auto"/>
                            <w:bottom w:val="none" w:sz="0" w:space="0" w:color="auto"/>
                            <w:right w:val="none" w:sz="0" w:space="0" w:color="auto"/>
                          </w:divBdr>
                          <w:divsChild>
                            <w:div w:id="15068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38831">
                  <w:marLeft w:val="0"/>
                  <w:marRight w:val="0"/>
                  <w:marTop w:val="0"/>
                  <w:marBottom w:val="0"/>
                  <w:divBdr>
                    <w:top w:val="none" w:sz="0" w:space="0" w:color="auto"/>
                    <w:left w:val="none" w:sz="0" w:space="0" w:color="auto"/>
                    <w:bottom w:val="none" w:sz="0" w:space="0" w:color="auto"/>
                    <w:right w:val="none" w:sz="0" w:space="0" w:color="auto"/>
                  </w:divBdr>
                  <w:divsChild>
                    <w:div w:id="50386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468794119838221" TargetMode="External"/><Relationship Id="rId13" Type="http://schemas.openxmlformats.org/officeDocument/2006/relationships/hyperlink" Target="https://doi.org/10.1177/030437540402900501" TargetMode="External"/><Relationship Id="rId18" Type="http://schemas.openxmlformats.org/officeDocument/2006/relationships/hyperlink" Target="https://doi.org/10.1080/03050620802518357"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mailto:asadi@khu.ac.ir/" TargetMode="External"/><Relationship Id="rId12" Type="http://schemas.openxmlformats.org/officeDocument/2006/relationships/hyperlink" Target="https://doi.org/10.1016/j.geoforum.2015.10.003" TargetMode="External"/><Relationship Id="rId17" Type="http://schemas.openxmlformats.org/officeDocument/2006/relationships/hyperlink" Target="https://doi.org/10.1111/j.1467-856X.2011.00459.x" TargetMode="External"/><Relationship Id="rId2" Type="http://schemas.openxmlformats.org/officeDocument/2006/relationships/styles" Target="styles.xml"/><Relationship Id="rId16" Type="http://schemas.openxmlformats.org/officeDocument/2006/relationships/hyperlink" Target="https://doi.org/10.2307/2960474" TargetMode="External"/><Relationship Id="rId20" Type="http://schemas.openxmlformats.org/officeDocument/2006/relationships/hyperlink" Target="https://doi.org/10.1108/AEDS-10-2015-005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46/annurev.anthro.37.081407.085207" TargetMode="External"/><Relationship Id="rId5" Type="http://schemas.openxmlformats.org/officeDocument/2006/relationships/footnotes" Target="footnotes.xml"/><Relationship Id="rId15" Type="http://schemas.openxmlformats.org/officeDocument/2006/relationships/hyperlink" Target="https://doi.org/10.1177/0047117813513148" TargetMode="External"/><Relationship Id="rId23" Type="http://schemas.openxmlformats.org/officeDocument/2006/relationships/theme" Target="theme/theme1.xml"/><Relationship Id="rId10" Type="http://schemas.openxmlformats.org/officeDocument/2006/relationships/hyperlink" Target="https://doi.org/10.1177/0022002706296157" TargetMode="External"/><Relationship Id="rId19" Type="http://schemas.openxmlformats.org/officeDocument/2006/relationships/hyperlink" Target="https://doi.org/10.1093/isr/vix058" TargetMode="External"/><Relationship Id="rId4" Type="http://schemas.openxmlformats.org/officeDocument/2006/relationships/webSettings" Target="webSettings.xml"/><Relationship Id="rId9" Type="http://schemas.openxmlformats.org/officeDocument/2006/relationships/hyperlink" Target="https://doi.org/10.1177/1354066120908539" TargetMode="External"/><Relationship Id="rId14" Type="http://schemas.openxmlformats.org/officeDocument/2006/relationships/hyperlink" Target="https://doi.org/10.1177/026377581774538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6010</Words>
  <Characters>34261</Characters>
  <Application>Microsoft Office Word</Application>
  <DocSecurity>0</DocSecurity>
  <Lines>285</Lines>
  <Paragraphs>80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Husam Kareem</dc:creator>
  <cp:keywords/>
  <dc:description/>
  <cp:lastModifiedBy>Maher</cp:lastModifiedBy>
  <cp:revision>4</cp:revision>
  <dcterms:created xsi:type="dcterms:W3CDTF">2025-09-20T19:36:00Z</dcterms:created>
  <dcterms:modified xsi:type="dcterms:W3CDTF">2025-09-20T19:39:00Z</dcterms:modified>
</cp:coreProperties>
</file>